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872" w14:textId="150C7F0B" w:rsidR="00E40212" w:rsidRDefault="00E40212" w:rsidP="00E40212">
      <w:pPr>
        <w:spacing w:after="160" w:line="259" w:lineRule="auto"/>
      </w:pPr>
      <w:bookmarkStart w:id="0" w:name="_Toc103152495"/>
      <w:r w:rsidRPr="00282A44">
        <w:t xml:space="preserve">Załącznik nr 2: Ramowy program ochrony ofiar przemocy w rodzinie </w:t>
      </w:r>
      <w:r w:rsidR="00D24EDA">
        <w:t>–</w:t>
      </w:r>
      <w:r w:rsidRPr="00282A44">
        <w:t xml:space="preserve"> wytyczne</w:t>
      </w:r>
      <w:bookmarkEnd w:id="0"/>
    </w:p>
    <w:sdt>
      <w:sdtPr>
        <w:rPr>
          <w:rFonts w:ascii="Arial" w:eastAsia="Times New Roman" w:hAnsi="Arial" w:cs="Calibri"/>
          <w:color w:val="auto"/>
          <w:sz w:val="22"/>
          <w:szCs w:val="20"/>
        </w:rPr>
        <w:id w:val="9536712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C8C589" w14:textId="5CE370D0" w:rsidR="00D24EDA" w:rsidRPr="00EB5F64" w:rsidRDefault="00D24EDA">
          <w:pPr>
            <w:pStyle w:val="Nagwekspisutreci"/>
            <w:rPr>
              <w:rFonts w:ascii="Arial" w:hAnsi="Arial" w:cs="Arial"/>
            </w:rPr>
          </w:pPr>
          <w:r w:rsidRPr="00EB5F64">
            <w:rPr>
              <w:rFonts w:ascii="Arial" w:hAnsi="Arial" w:cs="Arial"/>
            </w:rPr>
            <w:t>Spis treści</w:t>
          </w:r>
        </w:p>
        <w:p w14:paraId="58DB1463" w14:textId="19E3A038" w:rsidR="003B5408" w:rsidRDefault="00D24ED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158307" w:history="1">
            <w:r w:rsidR="003B5408" w:rsidRPr="00EA62D9">
              <w:rPr>
                <w:rStyle w:val="Hipercze"/>
                <w:rFonts w:eastAsiaTheme="majorEastAsia"/>
                <w:noProof/>
              </w:rPr>
              <w:t>1.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Podstawy prawne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_Toc103158307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67A9FC6B" w14:textId="7D277791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08" w:history="1">
            <w:r w:rsidR="003B5408" w:rsidRPr="00EA62D9">
              <w:rPr>
                <w:rStyle w:val="Hipercze"/>
                <w:rFonts w:eastAsiaTheme="majorEastAsia"/>
                <w:noProof/>
              </w:rPr>
              <w:t>2.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Podstawy teoretyczne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_Toc103158308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7F4588A2" w14:textId="657EE637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09" w:history="1">
            <w:r w:rsidR="003B5408" w:rsidRPr="00EA62D9">
              <w:rPr>
                <w:rStyle w:val="Hipercze"/>
                <w:rFonts w:eastAsiaTheme="majorEastAsia"/>
                <w:noProof/>
              </w:rPr>
              <w:t>3.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Cel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_Toc103158309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5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2997A10B" w14:textId="23628733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0" w:history="1">
            <w:r w:rsidR="003B5408" w:rsidRPr="00EA62D9">
              <w:rPr>
                <w:rStyle w:val="Hipercze"/>
                <w:rFonts w:eastAsiaTheme="majorEastAsia"/>
                <w:noProof/>
              </w:rPr>
              <w:t>4.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Adresaci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_Toc103158310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6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3909F5F1" w14:textId="5FC841F5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1" w:history="1">
            <w:r w:rsidR="003B5408" w:rsidRPr="00EA62D9">
              <w:rPr>
                <w:rStyle w:val="Hipercze"/>
                <w:rFonts w:eastAsiaTheme="majorEastAsia"/>
                <w:noProof/>
              </w:rPr>
              <w:t>5.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Realizatorzy programu w województwie lubelskim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_Toc103158311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6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4E2CFB50" w14:textId="6961C0B4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2" w:history="1">
            <w:r w:rsidR="003B5408" w:rsidRPr="00EA62D9">
              <w:rPr>
                <w:rStyle w:val="Hipercze"/>
                <w:rFonts w:eastAsiaTheme="majorEastAsia"/>
                <w:noProof/>
              </w:rPr>
              <w:t>6.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Działania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_Toc103158312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7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2EB200F5" w14:textId="2584B1C5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3" w:history="1">
            <w:r w:rsidR="003B5408" w:rsidRPr="00EA62D9">
              <w:rPr>
                <w:rStyle w:val="Hipercze"/>
                <w:rFonts w:eastAsiaTheme="majorEastAsia"/>
                <w:noProof/>
              </w:rPr>
              <w:t>7.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Wskazówki dla realizatorów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_Toc103158313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8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7DDB891F" w14:textId="6E867CED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4" w:history="1">
            <w:r w:rsidR="003B5408" w:rsidRPr="00EA62D9">
              <w:rPr>
                <w:rStyle w:val="Hipercze"/>
                <w:rFonts w:eastAsiaTheme="majorEastAsia"/>
                <w:noProof/>
              </w:rPr>
              <w:t>8.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Zasady realizacji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_Toc103158314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10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6A286D75" w14:textId="2668FEE7" w:rsidR="003B5408" w:rsidRDefault="00242B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5" w:history="1">
            <w:r w:rsidR="003B5408" w:rsidRPr="00EA62D9">
              <w:rPr>
                <w:rStyle w:val="Hipercze"/>
                <w:rFonts w:eastAsiaTheme="majorEastAsia"/>
                <w:noProof/>
              </w:rPr>
              <w:t>9.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Zasady monitorowania i ewaluacji działań wynikających z realizacji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_Toc103158315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11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158AB830" w14:textId="258B220C" w:rsidR="00D24EDA" w:rsidRPr="00282A44" w:rsidRDefault="00D24EDA" w:rsidP="005D2F22">
          <w:r>
            <w:rPr>
              <w:b/>
              <w:bCs/>
            </w:rPr>
            <w:fldChar w:fldCharType="end"/>
          </w:r>
        </w:p>
      </w:sdtContent>
    </w:sdt>
    <w:p w14:paraId="098FAD2A" w14:textId="77777777" w:rsidR="00E40212" w:rsidRPr="003000D9" w:rsidRDefault="00E40212" w:rsidP="009772E2">
      <w:pPr>
        <w:pStyle w:val="Nagwek1"/>
        <w:numPr>
          <w:ilvl w:val="0"/>
          <w:numId w:val="14"/>
        </w:numPr>
      </w:pPr>
      <w:bookmarkStart w:id="1" w:name="_Toc103158307"/>
      <w:r w:rsidRPr="003000D9">
        <w:t>Podstawy prawne</w:t>
      </w:r>
      <w:bookmarkEnd w:id="1"/>
      <w:r w:rsidRPr="003000D9">
        <w:t xml:space="preserve"> </w:t>
      </w:r>
    </w:p>
    <w:p w14:paraId="67F2DD47" w14:textId="77777777" w:rsidR="00E40212" w:rsidRPr="00B8521D" w:rsidRDefault="00E40212" w:rsidP="00E40212">
      <w:pPr>
        <w:tabs>
          <w:tab w:val="left" w:pos="284"/>
        </w:tabs>
        <w:spacing w:before="16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Podstawy prawne ramowego programu ochrony ofiar przemocy w rodzinie to ustawa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z dnia 29 lipca 2005 r. o przeciwdziałaniu przemocy w rodzinie – w szczególności przepisy:</w:t>
      </w:r>
      <w:r>
        <w:rPr>
          <w:rFonts w:eastAsiaTheme="minorHAnsi" w:cs="Arial"/>
          <w:szCs w:val="22"/>
          <w:lang w:eastAsia="en-US"/>
        </w:rPr>
        <w:br/>
        <w:t>a</w:t>
      </w:r>
      <w:r w:rsidRPr="00B8521D">
        <w:rPr>
          <w:rFonts w:eastAsiaTheme="minorHAnsi" w:cs="Arial"/>
          <w:szCs w:val="22"/>
          <w:lang w:eastAsia="en-US"/>
        </w:rPr>
        <w:t xml:space="preserve">rt. 6 ust. 6. oraz </w:t>
      </w:r>
      <w:r>
        <w:rPr>
          <w:rFonts w:eastAsiaTheme="minorHAnsi" w:cs="Arial"/>
          <w:szCs w:val="22"/>
          <w:lang w:eastAsia="en-US"/>
        </w:rPr>
        <w:t>a</w:t>
      </w:r>
      <w:r w:rsidRPr="00B8521D">
        <w:rPr>
          <w:rFonts w:eastAsiaTheme="minorHAnsi" w:cs="Arial"/>
          <w:szCs w:val="22"/>
          <w:lang w:eastAsia="en-US"/>
        </w:rPr>
        <w:t>rt. 3 ust. 1. Inne akty prawne ważne dla powstania ww. programu wymieniono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Wojewódzkim Programie Przeciwdziałania Przemocy w Rodzinie na lata </w:t>
      </w:r>
      <w:r w:rsidRPr="00B8521D">
        <w:rPr>
          <w:rFonts w:eastAsiaTheme="minorHAnsi" w:cs="Arial"/>
          <w:szCs w:val="22"/>
          <w:u w:color="FF0000"/>
          <w:lang w:eastAsia="en-US"/>
        </w:rPr>
        <w:t>2022</w:t>
      </w:r>
      <w:r w:rsidRPr="003343B4">
        <w:rPr>
          <w:rFonts w:eastAsiaTheme="minorHAnsi" w:cs="Arial"/>
          <w:szCs w:val="22"/>
          <w:u w:color="FF0000"/>
          <w:lang w:eastAsia="en-US"/>
        </w:rPr>
        <w:t>-</w:t>
      </w:r>
      <w:r w:rsidRPr="00B8521D">
        <w:rPr>
          <w:rFonts w:eastAsiaTheme="minorHAnsi" w:cs="Arial"/>
          <w:szCs w:val="22"/>
          <w:u w:color="FF0000"/>
          <w:lang w:eastAsia="en-US"/>
        </w:rPr>
        <w:t>2025</w:t>
      </w:r>
      <w:r w:rsidRPr="00B8521D">
        <w:rPr>
          <w:rFonts w:eastAsiaTheme="minorHAnsi" w:cs="Arial"/>
          <w:szCs w:val="22"/>
          <w:lang w:eastAsia="en-US"/>
        </w:rPr>
        <w:t>.</w:t>
      </w:r>
    </w:p>
    <w:p w14:paraId="6B1FCF65" w14:textId="77777777" w:rsidR="00E40212" w:rsidRPr="003000D9" w:rsidRDefault="00E40212" w:rsidP="009772E2">
      <w:pPr>
        <w:pStyle w:val="Nagwek1"/>
        <w:numPr>
          <w:ilvl w:val="0"/>
          <w:numId w:val="14"/>
        </w:numPr>
      </w:pPr>
      <w:bookmarkStart w:id="2" w:name="_Toc103158308"/>
      <w:r w:rsidRPr="003000D9">
        <w:t>Podstawy teoretyczne</w:t>
      </w:r>
      <w:bookmarkEnd w:id="2"/>
    </w:p>
    <w:p w14:paraId="3E645765" w14:textId="77777777" w:rsidR="00E40212" w:rsidRPr="00B8521D" w:rsidRDefault="00E40212" w:rsidP="00E40212">
      <w:pPr>
        <w:tabs>
          <w:tab w:val="left" w:pos="284"/>
        </w:tabs>
        <w:spacing w:before="16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 xml:space="preserve">Zachowanie ofiar przemocy i zjawisko przemocy jest złożone. W literaturze przedmiotu istnieje kilka koncepcji psychologicznych wyjaśniających mechanizmy przemocy, powody specyficznego zachowania ofiar, przyczyny dla których tak trudno przeciwdziałać tym mechanizmom. Zrozumienie ich może rzucić światło na </w:t>
      </w:r>
      <w:r w:rsidRPr="00B8521D">
        <w:rPr>
          <w:rFonts w:cs="Arial"/>
          <w:b/>
          <w:bCs/>
          <w:szCs w:val="22"/>
        </w:rPr>
        <w:t>cykl przemocy</w:t>
      </w:r>
      <w:r>
        <w:rPr>
          <w:rStyle w:val="Odwoanieprzypisudolnego"/>
          <w:rFonts w:cs="Arial"/>
          <w:b/>
          <w:bCs/>
          <w:szCs w:val="22"/>
        </w:rPr>
        <w:footnoteReference w:id="1"/>
      </w:r>
      <w:r w:rsidRPr="00B8521D">
        <w:rPr>
          <w:rFonts w:cs="Arial"/>
          <w:szCs w:val="22"/>
        </w:rPr>
        <w:t>. Badania wykazują, że związki, w których kobiety doświadczają przemocy przechodzą przez trzy fazy powtarzającego się cyklu:</w:t>
      </w:r>
    </w:p>
    <w:p w14:paraId="2A79815A" w14:textId="77777777" w:rsidR="00E40212" w:rsidRPr="00B8521D" w:rsidRDefault="00E40212" w:rsidP="00E40212">
      <w:pPr>
        <w:numPr>
          <w:ilvl w:val="0"/>
          <w:numId w:val="1"/>
        </w:numPr>
        <w:spacing w:before="160" w:after="120"/>
        <w:ind w:left="284" w:hanging="284"/>
        <w:contextualSpacing/>
        <w:rPr>
          <w:rFonts w:cs="Arial"/>
          <w:szCs w:val="22"/>
          <w:u w:val="single" w:color="000000" w:themeColor="text1"/>
        </w:rPr>
      </w:pPr>
      <w:r w:rsidRPr="00B8521D">
        <w:rPr>
          <w:rFonts w:cs="Arial"/>
          <w:szCs w:val="22"/>
          <w:u w:val="single" w:color="000000" w:themeColor="text1"/>
        </w:rPr>
        <w:t>Faza narastania napięcia</w:t>
      </w:r>
    </w:p>
    <w:p w14:paraId="1264345D" w14:textId="77777777" w:rsidR="00E40212" w:rsidRPr="00B8521D" w:rsidRDefault="00E40212" w:rsidP="005D2F22">
      <w:pPr>
        <w:spacing w:before="160"/>
        <w:ind w:firstLine="709"/>
        <w:rPr>
          <w:rFonts w:cs="Arial"/>
          <w:szCs w:val="22"/>
        </w:rPr>
      </w:pPr>
      <w:r>
        <w:rPr>
          <w:rFonts w:cs="Arial"/>
          <w:szCs w:val="22"/>
        </w:rPr>
        <w:t>Jest t</w:t>
      </w:r>
      <w:r w:rsidRPr="00B8521D">
        <w:rPr>
          <w:rFonts w:cs="Arial"/>
          <w:szCs w:val="22"/>
        </w:rPr>
        <w:t>o faza, w której narasta napięcie w relacji sprawca – ofiara. Sprawca jest poirytowany, nerwowy. Ofiara stara się go uspokajać. Koncentruje się na usuwaniu przyczyn irytacji i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zapobieg</w:t>
      </w:r>
      <w:r>
        <w:rPr>
          <w:rFonts w:cs="Arial"/>
          <w:szCs w:val="22"/>
        </w:rPr>
        <w:t>a</w:t>
      </w:r>
      <w:r w:rsidRPr="00B8521D">
        <w:rPr>
          <w:rFonts w:cs="Arial"/>
          <w:szCs w:val="22"/>
        </w:rPr>
        <w:t xml:space="preserve">niu jej narastaniu. Za wszelką cenę pragnie uniknąć nadchodzącej </w:t>
      </w:r>
      <w:r w:rsidRPr="00B8521D">
        <w:rPr>
          <w:rFonts w:cs="Arial"/>
          <w:szCs w:val="22"/>
        </w:rPr>
        <w:lastRenderedPageBreak/>
        <w:t>awantury. Wysiłki te prędzej czy później są skazane na porażkę. Ofiara nie może nic zrobić, by uniknąć kolejnej fazy.</w:t>
      </w:r>
    </w:p>
    <w:p w14:paraId="29397F05" w14:textId="77777777" w:rsidR="00E40212" w:rsidRPr="00B8521D" w:rsidRDefault="00E40212" w:rsidP="00E40212">
      <w:pPr>
        <w:numPr>
          <w:ilvl w:val="0"/>
          <w:numId w:val="1"/>
        </w:numPr>
        <w:spacing w:before="160" w:after="120"/>
        <w:ind w:left="284" w:hanging="284"/>
        <w:contextualSpacing/>
        <w:rPr>
          <w:rFonts w:cs="Arial"/>
          <w:szCs w:val="22"/>
          <w:u w:val="single"/>
        </w:rPr>
      </w:pPr>
      <w:r w:rsidRPr="00B8521D">
        <w:rPr>
          <w:rFonts w:cs="Arial"/>
          <w:szCs w:val="22"/>
          <w:u w:val="single"/>
        </w:rPr>
        <w:t>Faza ostrej przemocy</w:t>
      </w:r>
    </w:p>
    <w:p w14:paraId="1DCAB53D" w14:textId="77777777" w:rsidR="00E40212" w:rsidRPr="00B8521D" w:rsidRDefault="00E40212" w:rsidP="00E40212">
      <w:pPr>
        <w:spacing w:before="16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>To faza, kiedy sprawca staje się gwałtowny, agresywny, wyładowuje złość. Każde zachowanie osoby doznającej przemocy stanowi pretekst do wywołania awantury, użycia przemocy fizycznej lub innych jej form. Zdrowie, a nawet życie osoby pokrzywdzonej jest wtedy często zagrożone. To faza kiedy często dochodzi do pobicia, zranienia, napaści. To też czas, kiedy najczęściej osoba pokrzywdzona decyduje się na szukanie pomocy lub/i różne służby mają do niej dostęp (np. pogotowie, lekarz pierwszego kontaktu, policja).</w:t>
      </w:r>
    </w:p>
    <w:p w14:paraId="0497B783" w14:textId="77777777" w:rsidR="00E40212" w:rsidRPr="00B8521D" w:rsidRDefault="00E40212" w:rsidP="00E40212">
      <w:pPr>
        <w:numPr>
          <w:ilvl w:val="0"/>
          <w:numId w:val="1"/>
        </w:numPr>
        <w:spacing w:before="160" w:after="120"/>
        <w:ind w:left="284" w:hanging="284"/>
        <w:contextualSpacing/>
        <w:rPr>
          <w:rFonts w:cs="Arial"/>
          <w:szCs w:val="22"/>
          <w:u w:val="single" w:color="000000" w:themeColor="text1"/>
        </w:rPr>
      </w:pPr>
      <w:r w:rsidRPr="00B8521D">
        <w:rPr>
          <w:rFonts w:cs="Arial"/>
          <w:szCs w:val="22"/>
          <w:u w:val="single" w:color="000000" w:themeColor="text1"/>
        </w:rPr>
        <w:t>Faza miodowego miesiąca</w:t>
      </w:r>
    </w:p>
    <w:p w14:paraId="4B67C19B" w14:textId="36E48151" w:rsidR="00E40212" w:rsidRPr="00B8521D" w:rsidRDefault="00E40212" w:rsidP="00E40212">
      <w:pPr>
        <w:spacing w:before="12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>To faza, gdy sprawca okazuje czułość, miłość, wyraża skruchę i przeprasza za swoje zachowanie. Dzieje się tak przede wszystkim, gdy osoba pokrzywdzona ujawni prawdę na zewnątrz. Sprawca jest miły i zachowuje się bardzo dobrze, obiecuje poprawę, tłumaczy się, prosi o wybaczenie. Wykazuje troskę i zapewnia osobę doznająca przemocy o swojej miłości. To faza, gdy sprawca wręcza prezenty, adoruje. Sprawca i osoba pokrzywdzona zachowują się jak świeżo zakochana para. Osoba pokrzywdzona zaczyna wierzyć w to, że partner się zmienił i że przemoc była jedynie incydentem. Czuje się kochana, adorowana, spełniona, ważna. Spełniają się jej marzenia o cudownej miłości, odczuwa bliskość i zespolenie</w:t>
      </w:r>
      <w:r w:rsidR="005D2F22">
        <w:rPr>
          <w:rFonts w:cs="Arial"/>
          <w:szCs w:val="22"/>
        </w:rPr>
        <w:br/>
      </w:r>
      <w:r w:rsidRPr="00B8521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partnerem. Faza miodowego miesiąca zatrzymuje ofiarę w cyklu przemocy, bo łatwo wtedy zapomnieć</w:t>
      </w:r>
      <w:r w:rsidR="00041C0C"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koszmarze pozostałych dwóch faz. Faza miodowego miesiąca zawsze mija</w:t>
      </w:r>
      <w:r w:rsidR="00041C0C">
        <w:rPr>
          <w:rFonts w:cs="Arial"/>
          <w:szCs w:val="22"/>
        </w:rPr>
        <w:br/>
      </w:r>
      <w:r w:rsidRPr="00B8521D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znowu rozpoczyna się faza narastania napięcia. Faza miodowego miesiąca niesie zagrożenie, ponieważ przemoc w następnym cyklu bywa zazwyczaj gwałtowniejsza.</w:t>
      </w:r>
    </w:p>
    <w:p w14:paraId="667B26CE" w14:textId="77777777" w:rsidR="00E40212" w:rsidRPr="00B8521D" w:rsidRDefault="00E40212" w:rsidP="00E40212">
      <w:pPr>
        <w:spacing w:before="120" w:after="120"/>
        <w:ind w:firstLine="709"/>
        <w:rPr>
          <w:rFonts w:cs="Arial"/>
          <w:szCs w:val="22"/>
        </w:rPr>
      </w:pPr>
      <w:r w:rsidRPr="00B8521D">
        <w:rPr>
          <w:rFonts w:cs="Arial"/>
          <w:szCs w:val="22"/>
        </w:rPr>
        <w:t>Osoby doświadczające przemocy, zwłaszcza w sposób regularny i długi zmieniają się. Poniżej przedstawiamy mechanizmy, na które narażone są osoby doświadczające przemocy</w:t>
      </w:r>
      <w:r>
        <w:rPr>
          <w:rFonts w:cs="Arial"/>
          <w:szCs w:val="22"/>
        </w:rPr>
        <w:br/>
      </w:r>
      <w:r w:rsidRPr="00B8521D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 xml:space="preserve">rodzinie. Jednym z nich jest </w:t>
      </w:r>
      <w:r w:rsidRPr="00B8521D">
        <w:rPr>
          <w:rFonts w:cs="Arial"/>
          <w:b/>
          <w:bCs/>
          <w:szCs w:val="22"/>
        </w:rPr>
        <w:t xml:space="preserve">zjawisko </w:t>
      </w:r>
      <w:proofErr w:type="spellStart"/>
      <w:r w:rsidRPr="00B8521D">
        <w:rPr>
          <w:rFonts w:cs="Arial"/>
          <w:b/>
          <w:bCs/>
          <w:szCs w:val="22"/>
        </w:rPr>
        <w:t>wiktymizacji</w:t>
      </w:r>
      <w:proofErr w:type="spellEnd"/>
      <w:r>
        <w:rPr>
          <w:rStyle w:val="Odwoanieprzypisudolnego"/>
          <w:rFonts w:cs="Arial"/>
          <w:b/>
          <w:bCs/>
          <w:szCs w:val="22"/>
        </w:rPr>
        <w:footnoteReference w:id="2"/>
      </w:r>
      <w:r w:rsidRPr="00B8521D">
        <w:rPr>
          <w:rFonts w:cs="Arial"/>
          <w:b/>
          <w:bCs/>
          <w:szCs w:val="22"/>
        </w:rPr>
        <w:t>.</w:t>
      </w:r>
      <w:r w:rsidRPr="00B8521D">
        <w:rPr>
          <w:rFonts w:cs="Arial"/>
          <w:szCs w:val="22"/>
        </w:rPr>
        <w:t xml:space="preserve"> To szczególna sytuacja, ponieważ jest to proces, rozciągnięty w czasie, w którym u ofiary następują zmiany z zachowaniu, psychice, myśleniu o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 xml:space="preserve">sobie. Zjawisko </w:t>
      </w:r>
      <w:proofErr w:type="spellStart"/>
      <w:r w:rsidRPr="00B8521D">
        <w:rPr>
          <w:rFonts w:cs="Arial"/>
          <w:szCs w:val="22"/>
        </w:rPr>
        <w:t>wiktymizacji</w:t>
      </w:r>
      <w:proofErr w:type="spellEnd"/>
      <w:r w:rsidRPr="00B8521D">
        <w:rPr>
          <w:rFonts w:cs="Arial"/>
          <w:szCs w:val="22"/>
        </w:rPr>
        <w:t xml:space="preserve"> składa się z trzech poziomów:</w:t>
      </w:r>
    </w:p>
    <w:p w14:paraId="1D8CA253" w14:textId="77777777" w:rsidR="00E40212" w:rsidRPr="00BF5633" w:rsidRDefault="00E40212" w:rsidP="00E40212">
      <w:pPr>
        <w:pStyle w:val="Akapitzlist"/>
        <w:numPr>
          <w:ilvl w:val="0"/>
          <w:numId w:val="1"/>
        </w:numPr>
        <w:spacing w:after="120"/>
        <w:ind w:left="284" w:hanging="284"/>
        <w:rPr>
          <w:rFonts w:eastAsiaTheme="minorHAnsi" w:cs="Arial"/>
          <w:szCs w:val="22"/>
          <w:lang w:eastAsia="en-US"/>
        </w:rPr>
      </w:pPr>
      <w:r w:rsidRPr="00BF5633">
        <w:rPr>
          <w:rFonts w:eastAsiaTheme="minorHAnsi" w:cs="Arial"/>
          <w:szCs w:val="22"/>
          <w:u w:val="single" w:color="000000" w:themeColor="text1"/>
          <w:lang w:eastAsia="en-US"/>
        </w:rPr>
        <w:t>I poziom</w:t>
      </w:r>
      <w:r w:rsidRPr="00BF5633">
        <w:rPr>
          <w:rFonts w:eastAsiaTheme="minorHAnsi" w:cs="Arial"/>
          <w:szCs w:val="22"/>
          <w:lang w:eastAsia="en-US"/>
        </w:rPr>
        <w:t xml:space="preserve"> - to zburzenie utrwalonych przekonań na temat siebie i świata. Wyróżnić tu można następujące cechy charakterystyczne: skrócenie perspektywy czasowej, utrata poczucia bezpieczeństwa, czucie się jak małe dziecko, pragnienie wycofania się i izolacji od ludzi, przeżywanie bezsilnego gniewu, złości, lęku. Proces ten dotyczy naszych przekonań na własny temat i otaczającego świata, które gromadzimy w toku życia. Doświadczenie </w:t>
      </w:r>
      <w:r w:rsidRPr="00BF5633">
        <w:rPr>
          <w:rFonts w:eastAsiaTheme="minorHAnsi" w:cs="Arial"/>
          <w:szCs w:val="22"/>
          <w:lang w:eastAsia="en-US"/>
        </w:rPr>
        <w:lastRenderedPageBreak/>
        <w:t>przemocy zakłóca ten proces. Doświadczenie przemocy zmienia przekonania w naszym systemie poznawczym.</w:t>
      </w:r>
    </w:p>
    <w:p w14:paraId="373C1CCD" w14:textId="77777777" w:rsidR="00E40212" w:rsidRPr="00BF5633" w:rsidRDefault="00E40212" w:rsidP="00E40212">
      <w:pPr>
        <w:pStyle w:val="Akapitzlist"/>
        <w:numPr>
          <w:ilvl w:val="0"/>
          <w:numId w:val="1"/>
        </w:numPr>
        <w:spacing w:after="120"/>
        <w:ind w:left="284" w:hanging="284"/>
        <w:rPr>
          <w:rFonts w:eastAsiaTheme="minorHAnsi" w:cs="Arial"/>
          <w:szCs w:val="22"/>
          <w:lang w:eastAsia="en-US"/>
        </w:rPr>
      </w:pPr>
      <w:r w:rsidRPr="00BF5633">
        <w:rPr>
          <w:rFonts w:eastAsiaTheme="minorHAnsi" w:cs="Arial"/>
          <w:szCs w:val="22"/>
          <w:u w:val="single" w:color="000000" w:themeColor="text1"/>
          <w:lang w:eastAsia="en-US"/>
        </w:rPr>
        <w:t>II poziom</w:t>
      </w:r>
      <w:r w:rsidRPr="00BF5633">
        <w:rPr>
          <w:rFonts w:eastAsiaTheme="minorHAnsi" w:cs="Arial"/>
          <w:szCs w:val="22"/>
          <w:lang w:eastAsia="en-US"/>
        </w:rPr>
        <w:t xml:space="preserve"> - to tzw. wtórne zranienia. Najczęściej są one wynikiem niewłaściwych reakcji otoczenia. Może to być np. zaprzeczenie, pomniejszenie, brak wiary, obwinianie osoby pokrzywdzonej, piętnowanie, brak lub odmowa pomocy, okrucieństwo. Poziom ten charakteryzuje się: kwestionowaniem prawdziwości opowieści pokrzywdzonej, obwinianie, zaprzeczanie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pomniejszanie doświadczeń osoby pokrzywdzonej przez inne osoby, odmawianie pomocy pokrzywdzonej, sugerowanie chęci zysku, uzyskanie korzyści.</w:t>
      </w:r>
    </w:p>
    <w:p w14:paraId="1829A55D" w14:textId="34CF4F55" w:rsidR="00E40212" w:rsidRPr="00BF5633" w:rsidRDefault="00E40212" w:rsidP="00E40212">
      <w:pPr>
        <w:pStyle w:val="Akapitzlist"/>
        <w:numPr>
          <w:ilvl w:val="0"/>
          <w:numId w:val="1"/>
        </w:numPr>
        <w:spacing w:before="240" w:after="120"/>
        <w:ind w:left="284" w:hanging="284"/>
        <w:rPr>
          <w:rFonts w:eastAsiaTheme="minorHAnsi" w:cs="Arial"/>
          <w:szCs w:val="22"/>
          <w:lang w:eastAsia="en-US"/>
        </w:rPr>
      </w:pPr>
      <w:r w:rsidRPr="00BF5633">
        <w:rPr>
          <w:rFonts w:eastAsiaTheme="minorHAnsi" w:cs="Arial"/>
          <w:szCs w:val="22"/>
          <w:u w:val="single" w:color="000000" w:themeColor="text1"/>
          <w:lang w:eastAsia="en-US"/>
        </w:rPr>
        <w:t>III poziom</w:t>
      </w:r>
      <w:r w:rsidRPr="00BF5633">
        <w:rPr>
          <w:rFonts w:eastAsiaTheme="minorHAnsi" w:cs="Arial"/>
          <w:szCs w:val="22"/>
          <w:lang w:eastAsia="en-US"/>
        </w:rPr>
        <w:t xml:space="preserve"> - to przyjmowanie tożsamości osoby doznającej przemocy. Charakterystyczne dla tego poziomu jest: myślenie o sobie jak o osobie skazanej na bycie ofiarą, nietolerancja na własne błędy (samo piętnowanie się), zaprzeczanie trudnościom osobistym, poniżanie się</w:t>
      </w:r>
      <w:r w:rsidR="00041C0C"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tworzenie z tego własnej filozofii życia, myślenie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kategoriach „wszystko albo nic”, negowanie podstawowych praw osobistych.</w:t>
      </w:r>
    </w:p>
    <w:p w14:paraId="10B99FCE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Opisane zjawisko nie jest jednoznaczne. Wydaje się, że szczególnie istotny jest poziom II, czyli wystąpienie wtórnej </w:t>
      </w:r>
      <w:proofErr w:type="spellStart"/>
      <w:r w:rsidRPr="00B8521D">
        <w:rPr>
          <w:rFonts w:eastAsiaTheme="minorHAnsi" w:cs="Arial"/>
          <w:szCs w:val="22"/>
          <w:lang w:eastAsia="en-US"/>
        </w:rPr>
        <w:t>wiktymizacji</w:t>
      </w:r>
      <w:proofErr w:type="spellEnd"/>
      <w:r w:rsidRPr="00B8521D">
        <w:rPr>
          <w:rFonts w:eastAsiaTheme="minorHAnsi" w:cs="Arial"/>
          <w:szCs w:val="22"/>
          <w:lang w:eastAsia="en-US"/>
        </w:rPr>
        <w:t>. To szczególna sytuacja, w której doświadczenie przemocy, proces zachodzący w osobach jej doświadczających na skutek zachowania osoby stosującej przemoc i reakcji otoczenia ofiary. Przerwanie przemocy jest możliwe, ale trudne zwłaszcza, gdy ofiara wejdzie w trzeci, ostatni poziom. To czas, gdy osoba doświadczająca przemocy sprawia wrażenie jakby nie chciała wyjść z tej roli. To wywołuje frustrację i irytację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u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osób chcących udzielić jej pomocy. Wiążę się to z zagrożeniem „wtórnego zranienia”. To przestroga dla osób pracujących z osobami doświadczającymi przemocy, że pomoc im udzielana powinna cechować wyjątkowa cierpliwość, życzliwość i wyrozumiałość, oraz że jest to niekiedy długotrwały proces, w którym możemy być pierwszymi osobami, które zmienią bieg „urazowych” doświadczeń ze strony otoczenia osoby doświadczającej przemocy.</w:t>
      </w:r>
    </w:p>
    <w:p w14:paraId="3C344C19" w14:textId="77777777" w:rsidR="00E40212" w:rsidRPr="00B8521D" w:rsidRDefault="00E40212" w:rsidP="00E40212">
      <w:pPr>
        <w:spacing w:after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Zjawisko </w:t>
      </w:r>
      <w:proofErr w:type="spellStart"/>
      <w:r w:rsidRPr="00B8521D">
        <w:rPr>
          <w:rFonts w:eastAsiaTheme="minorHAnsi" w:cs="Arial"/>
          <w:szCs w:val="22"/>
          <w:lang w:eastAsia="en-US"/>
        </w:rPr>
        <w:t>wiktymizacji</w:t>
      </w:r>
      <w:proofErr w:type="spellEnd"/>
      <w:r w:rsidRPr="00B8521D">
        <w:rPr>
          <w:rFonts w:eastAsiaTheme="minorHAnsi" w:cs="Arial"/>
          <w:szCs w:val="22"/>
          <w:lang w:eastAsia="en-US"/>
        </w:rPr>
        <w:t xml:space="preserve"> to nie jedyny mechanizm, który wiąże się z doświadczaniem przemocy. Inne problemy to m.in. </w:t>
      </w:r>
      <w:r w:rsidRPr="00B8521D">
        <w:rPr>
          <w:rFonts w:eastAsiaTheme="minorHAnsi" w:cs="Arial"/>
          <w:b/>
          <w:bCs/>
          <w:szCs w:val="22"/>
          <w:lang w:eastAsia="en-US"/>
        </w:rPr>
        <w:t>syndrom wyuczonej bezradności</w:t>
      </w:r>
      <w:r>
        <w:rPr>
          <w:rStyle w:val="Odwoanieprzypisudolnego"/>
          <w:rFonts w:eastAsiaTheme="minorHAnsi" w:cs="Arial"/>
          <w:b/>
          <w:bCs/>
          <w:szCs w:val="22"/>
          <w:lang w:eastAsia="en-US"/>
        </w:rPr>
        <w:footnoteReference w:id="3"/>
      </w:r>
      <w:r w:rsidRPr="00B8521D">
        <w:rPr>
          <w:rFonts w:eastAsiaTheme="minorHAnsi" w:cs="Arial"/>
          <w:szCs w:val="22"/>
          <w:lang w:eastAsia="en-US"/>
        </w:rPr>
        <w:t>. Osoby doświadczające przemocy nabierają przekonania o nieskuteczności swoich posunięć, rodzi się w nich poczucie bezradności. Wyuczona bezradność jest poddaniem się, zaprzestaniem działania, które wynika 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przekonania, że cokolwiek się zrobi, nie będzie to miało żadnego znaczenia, gdyż zawsze znajdzie się powód do </w:t>
      </w:r>
      <w:proofErr w:type="spellStart"/>
      <w:r w:rsidRPr="00B8521D">
        <w:rPr>
          <w:rFonts w:eastAsiaTheme="minorHAnsi" w:cs="Arial"/>
          <w:szCs w:val="22"/>
          <w:lang w:eastAsia="en-US"/>
        </w:rPr>
        <w:t>zachowań</w:t>
      </w:r>
      <w:proofErr w:type="spellEnd"/>
      <w:r w:rsidRPr="00B8521D">
        <w:rPr>
          <w:rFonts w:eastAsiaTheme="minorHAnsi" w:cs="Arial"/>
          <w:szCs w:val="22"/>
          <w:lang w:eastAsia="en-US"/>
        </w:rPr>
        <w:t xml:space="preserve"> agresywnych. Wyuczona bezradność to jeden 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najczęstszych objawów występujących u osób doznających przemocy. </w:t>
      </w:r>
      <w:r w:rsidRPr="00B8521D">
        <w:rPr>
          <w:rFonts w:eastAsiaTheme="minorHAnsi" w:cs="Arial"/>
          <w:szCs w:val="22"/>
          <w:lang w:eastAsia="en-US"/>
        </w:rPr>
        <w:lastRenderedPageBreak/>
        <w:t xml:space="preserve">Przyczyną powstania tego syndromu to doświadczenia życiowe, wyniesione z różnych okresów życia. Można tu wymienić: </w:t>
      </w:r>
    </w:p>
    <w:p w14:paraId="3D581FA4" w14:textId="77777777" w:rsidR="00E40212" w:rsidRPr="00B8521D" w:rsidRDefault="00E40212" w:rsidP="00E40212">
      <w:pPr>
        <w:numPr>
          <w:ilvl w:val="0"/>
          <w:numId w:val="4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oświadczenia z dzieciństwa:</w:t>
      </w:r>
    </w:p>
    <w:p w14:paraId="78C2B822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przemoc fizyczna;</w:t>
      </w:r>
    </w:p>
    <w:p w14:paraId="611EDD38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napaść seksualna lub molestowanie;</w:t>
      </w:r>
    </w:p>
    <w:p w14:paraId="7819AAB2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sytuacje traumatyczne (śmierć lub rozwód rodziców, alkoholizm, choroba bliskich itp.);</w:t>
      </w:r>
    </w:p>
    <w:p w14:paraId="0BB66A73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kłopoty w nauce;</w:t>
      </w:r>
    </w:p>
    <w:p w14:paraId="701E73F3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problemy zdrowotne</w:t>
      </w:r>
      <w:r>
        <w:rPr>
          <w:rFonts w:eastAsiaTheme="minorHAnsi" w:cs="Arial"/>
          <w:szCs w:val="22"/>
          <w:lang w:eastAsia="en-US"/>
        </w:rPr>
        <w:t>;</w:t>
      </w:r>
    </w:p>
    <w:p w14:paraId="5B5317A1" w14:textId="77777777" w:rsidR="00E40212" w:rsidRPr="00B8521D" w:rsidRDefault="00E40212" w:rsidP="00E40212">
      <w:pPr>
        <w:numPr>
          <w:ilvl w:val="0"/>
          <w:numId w:val="4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oświadczenia ze związków realizowanych w życiu dorosłym:</w:t>
      </w:r>
    </w:p>
    <w:p w14:paraId="1DBE5A20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przemoc (istotny jest czas trwania, rodzaj i częstość przemocy);</w:t>
      </w:r>
    </w:p>
    <w:p w14:paraId="2A9440EA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patologiczna zazdrość;</w:t>
      </w:r>
    </w:p>
    <w:p w14:paraId="148B08D5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gwałt, przymuszanie do nieakceptowanych form współżycia;</w:t>
      </w:r>
    </w:p>
    <w:p w14:paraId="34DE9338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groźby pozbawienia życia.</w:t>
      </w:r>
    </w:p>
    <w:p w14:paraId="59C29BE4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Syndrom wyuczonej bezradności rozwija się przede wszystkim poprzez nakładanie się na siebie niekorzystnych doświadczeń. Jego skutki można łagodzić poprzez stopniowe odzyskiwanie przez osobę doznającą przemocy kontroli nad swoją osobą i swoim życiem. Wyuczona bezradność jest szczególnie negatywna, ponieważ jej skutki mogą przejawiać się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trzech sferach:</w:t>
      </w:r>
    </w:p>
    <w:p w14:paraId="19E35DC9" w14:textId="77777777" w:rsidR="00E40212" w:rsidRPr="00B8521D" w:rsidRDefault="00E40212" w:rsidP="00E40212">
      <w:pPr>
        <w:numPr>
          <w:ilvl w:val="0"/>
          <w:numId w:val="5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eficyty poznawcze. Polegają na ogólnym przekonaniu, że nie ma takich sytuacji,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których możliwa jest zmiana, że nikt nie może pomóc, że w konkretnej sytuacji nic nie można zrobić</w:t>
      </w:r>
      <w:r>
        <w:rPr>
          <w:rFonts w:eastAsiaTheme="minorHAnsi" w:cs="Arial"/>
          <w:szCs w:val="22"/>
          <w:lang w:eastAsia="en-US"/>
        </w:rPr>
        <w:t>;</w:t>
      </w:r>
    </w:p>
    <w:p w14:paraId="4291A756" w14:textId="77777777" w:rsidR="00E40212" w:rsidRPr="00B8521D" w:rsidRDefault="00E40212" w:rsidP="00E40212">
      <w:pPr>
        <w:numPr>
          <w:ilvl w:val="0"/>
          <w:numId w:val="5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eficyty motywacyjne. Polegają na tym, że osoba jest zrezygnowana, zachowuje się biernie, nie podejmuje działań, aby zmienić swoją sytuację</w:t>
      </w:r>
      <w:r>
        <w:rPr>
          <w:rFonts w:eastAsiaTheme="minorHAnsi" w:cs="Arial"/>
          <w:szCs w:val="22"/>
          <w:lang w:eastAsia="en-US"/>
        </w:rPr>
        <w:t>;</w:t>
      </w:r>
    </w:p>
    <w:p w14:paraId="68CD545F" w14:textId="77777777" w:rsidR="00E40212" w:rsidRPr="00B8521D" w:rsidRDefault="00E40212" w:rsidP="00E40212">
      <w:pPr>
        <w:numPr>
          <w:ilvl w:val="0"/>
          <w:numId w:val="5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eficyty emocjonalne. Polegają na tym, że osoba doświadczająca przemocy przeżywa lęk, depresję, apatię, uczucie zmęczenia, niekompetencję, wrogość.</w:t>
      </w:r>
    </w:p>
    <w:p w14:paraId="282AC151" w14:textId="77777777" w:rsidR="00E40212" w:rsidRPr="00B8521D" w:rsidRDefault="00E40212" w:rsidP="00E40212">
      <w:pPr>
        <w:spacing w:before="12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 xml:space="preserve">Kolejny mechanizm to </w:t>
      </w:r>
      <w:r w:rsidRPr="00B8521D">
        <w:rPr>
          <w:rFonts w:cs="Arial"/>
          <w:b/>
          <w:bCs/>
          <w:szCs w:val="22"/>
        </w:rPr>
        <w:t>syndrom sztokholmski</w:t>
      </w:r>
      <w:r>
        <w:rPr>
          <w:rStyle w:val="Odwoanieprzypisudolnego"/>
          <w:rFonts w:cs="Arial"/>
          <w:b/>
          <w:bCs/>
          <w:szCs w:val="22"/>
        </w:rPr>
        <w:footnoteReference w:id="4"/>
      </w:r>
      <w:r w:rsidRPr="00B8521D">
        <w:rPr>
          <w:rFonts w:cs="Arial"/>
          <w:szCs w:val="22"/>
        </w:rPr>
        <w:t>. To szczególne zjawisko, stan psychiczny występujący u osób doznających przemocy, wyrażający się odczuwaniem sympatii i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solidarności ze sprawcami przemocy. Osoba doznająca przemocy, która jest w długotrwałym związku ze sprawcą jest z nim silnie związana emocjonalnie. Jest to mechanizm ochronny, który wg niej pozwala na przetrwanie. To związanie jest szczególnie niebezpieczne, gdyż uniemożliwia uwolnienie się z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toksycznego związki. Osoba pokrzywdzona robi wszystko by trwał, może kłamać, brać winę na siebie. Sprawcą może być każda bliska osoba: matka, ojciec, dziecko, partner, żona, mąż.</w:t>
      </w:r>
    </w:p>
    <w:p w14:paraId="0B46FD1F" w14:textId="77777777" w:rsidR="00E40212" w:rsidRPr="00B8521D" w:rsidRDefault="00E40212" w:rsidP="00E40212">
      <w:pPr>
        <w:spacing w:before="240" w:after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b/>
          <w:bCs/>
          <w:szCs w:val="22"/>
          <w:lang w:eastAsia="en-US"/>
        </w:rPr>
        <w:lastRenderedPageBreak/>
        <w:t>Zjawisko „prania mózgu"</w:t>
      </w:r>
      <w:r>
        <w:rPr>
          <w:rStyle w:val="Odwoanieprzypisudolnego"/>
          <w:rFonts w:eastAsiaTheme="minorHAnsi" w:cs="Arial"/>
          <w:b/>
          <w:bCs/>
          <w:szCs w:val="22"/>
          <w:lang w:eastAsia="en-US"/>
        </w:rPr>
        <w:footnoteReference w:id="5"/>
      </w:r>
      <w:r w:rsidRPr="00B8521D">
        <w:rPr>
          <w:rFonts w:eastAsiaTheme="minorHAnsi" w:cs="Arial"/>
          <w:b/>
          <w:bCs/>
          <w:szCs w:val="22"/>
          <w:lang w:eastAsia="en-US"/>
        </w:rPr>
        <w:t>,</w:t>
      </w:r>
      <w:r w:rsidRPr="00B8521D">
        <w:rPr>
          <w:rFonts w:eastAsiaTheme="minorHAnsi" w:cs="Arial"/>
          <w:szCs w:val="22"/>
          <w:lang w:eastAsia="en-US"/>
        </w:rPr>
        <w:t xml:space="preserve"> to kolejny mechanizm psychologiczny, na który narażone są osoby doznaj</w:t>
      </w:r>
      <w:r>
        <w:rPr>
          <w:rFonts w:eastAsiaTheme="minorHAnsi" w:cs="Arial"/>
          <w:szCs w:val="22"/>
          <w:lang w:eastAsia="en-US"/>
        </w:rPr>
        <w:t>ą</w:t>
      </w:r>
      <w:r w:rsidRPr="00B8521D">
        <w:rPr>
          <w:rFonts w:eastAsiaTheme="minorHAnsi" w:cs="Arial"/>
          <w:szCs w:val="22"/>
          <w:lang w:eastAsia="en-US"/>
        </w:rPr>
        <w:t>ce przemocy. Tym razem chodzi o zachowanie sprawcy, który stosuje technikę tzw. „prania mózgu". Mówimy tu o: izolacji, monopolizacji uwagi, doprowadzaniu do wyczerpania, wywoływaniu lęku i depresji, naprzemienności kary i nagrody, demonstrowaniu wszechmocy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wszechwładzy, wymuszaniu drobnych przysług. Konsekwencją tych praktyk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u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osoby pokrzywdzonej jest: </w:t>
      </w:r>
    </w:p>
    <w:p w14:paraId="3D6946AF" w14:textId="77777777" w:rsidR="00E40212" w:rsidRPr="00B8521D" w:rsidRDefault="00E40212" w:rsidP="00E40212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degradacja własnego obrazu;</w:t>
      </w:r>
    </w:p>
    <w:p w14:paraId="0AC978CD" w14:textId="77777777" w:rsidR="00E40212" w:rsidRPr="00B8521D" w:rsidRDefault="00E40212" w:rsidP="00E40212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przeżywanie silnego poczucia lęku i zagrożenia;</w:t>
      </w:r>
    </w:p>
    <w:p w14:paraId="6E2C000D" w14:textId="77777777" w:rsidR="00E40212" w:rsidRPr="00B8521D" w:rsidRDefault="00E40212" w:rsidP="00E40212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wyzwalanie silnych stanów regresji.</w:t>
      </w:r>
    </w:p>
    <w:p w14:paraId="290AD9AD" w14:textId="6666B8F1" w:rsidR="00E40212" w:rsidRPr="00B8521D" w:rsidRDefault="00E40212" w:rsidP="00E40212">
      <w:pPr>
        <w:spacing w:before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Ostatnim problemem, które chcemy opisać jest </w:t>
      </w:r>
      <w:r w:rsidRPr="00B8521D">
        <w:rPr>
          <w:rFonts w:eastAsiaTheme="minorHAnsi" w:cs="Arial"/>
          <w:b/>
          <w:bCs/>
          <w:szCs w:val="22"/>
          <w:lang w:eastAsia="en-US"/>
        </w:rPr>
        <w:t>zjawisko psychologicznej pułapki</w:t>
      </w:r>
      <w:r>
        <w:rPr>
          <w:rStyle w:val="Odwoanieprzypisudolnego"/>
          <w:rFonts w:eastAsiaTheme="minorHAnsi" w:cs="Arial"/>
          <w:b/>
          <w:bCs/>
          <w:szCs w:val="22"/>
          <w:lang w:eastAsia="en-US"/>
        </w:rPr>
        <w:footnoteReference w:id="6"/>
      </w:r>
      <w:r w:rsidRPr="00B8521D">
        <w:rPr>
          <w:rFonts w:eastAsiaTheme="minorHAnsi" w:cs="Arial"/>
          <w:szCs w:val="22"/>
          <w:lang w:eastAsia="en-US"/>
        </w:rPr>
        <w:t>. Znów odwołamy się do zachowania sprawcy i wykorzystania jego relacji z osobą pokrzywdzoną. Chodzi tu o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sytuację, w której konsekwencją </w:t>
      </w:r>
      <w:proofErr w:type="spellStart"/>
      <w:r w:rsidRPr="00B8521D">
        <w:rPr>
          <w:rFonts w:eastAsiaTheme="minorHAnsi" w:cs="Arial"/>
          <w:szCs w:val="22"/>
          <w:lang w:eastAsia="en-US"/>
        </w:rPr>
        <w:t>zachowań</w:t>
      </w:r>
      <w:proofErr w:type="spellEnd"/>
      <w:r w:rsidRPr="00B8521D">
        <w:rPr>
          <w:rFonts w:eastAsiaTheme="minorHAnsi" w:cs="Arial"/>
          <w:szCs w:val="22"/>
          <w:lang w:eastAsia="en-US"/>
        </w:rPr>
        <w:t xml:space="preserve"> osoby stosującej przemoc jest sytuacja, gdy osoba jej doświadczająca, nie jest w stanie zrezygnować ze związku, bo tak dużo w niego zainwestowała: czasu, energii, emocji. Trwa ona w związku, który przynosi jej cierpienie,</w:t>
      </w:r>
      <w:r w:rsidR="009772E2"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którym jest upokarzana, bo żyje nadzieją, że to się kiedyś zmieni. Inwestuje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związek, stara się i jednocześnie obwinia siebie za całe zło. Wierzy, że jeśli dołoży więcej starań, to sytuacja się zmieni na lepsze. Ma poczucie, że zależy to właśnie od niej. Im więcej się stara i wkłada</w:t>
      </w:r>
      <w:r w:rsidR="009772E2"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to działanie więcej energii, tym trudniej jej zrezygnować.</w:t>
      </w:r>
    </w:p>
    <w:p w14:paraId="204D8B81" w14:textId="77777777" w:rsidR="00E40212" w:rsidRPr="0034074B" w:rsidRDefault="00E40212" w:rsidP="009772E2">
      <w:pPr>
        <w:pStyle w:val="Nagwek1"/>
        <w:numPr>
          <w:ilvl w:val="0"/>
          <w:numId w:val="14"/>
        </w:numPr>
      </w:pPr>
      <w:bookmarkStart w:id="5" w:name="_Toc103158309"/>
      <w:r w:rsidRPr="0034074B">
        <w:t>Cel programu</w:t>
      </w:r>
      <w:bookmarkEnd w:id="5"/>
    </w:p>
    <w:p w14:paraId="59ED9C8B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Cel ogólny programu: Ochrona i wsparcie osób dotkniętych przemocą w rodzinie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województwie lubelskim.</w:t>
      </w:r>
    </w:p>
    <w:p w14:paraId="0B9B61AE" w14:textId="77777777" w:rsidR="00E40212" w:rsidRPr="00B8521D" w:rsidRDefault="00E40212" w:rsidP="00E40212">
      <w:pPr>
        <w:spacing w:before="120" w:after="120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Cele szczegółowe:</w:t>
      </w:r>
    </w:p>
    <w:p w14:paraId="62FF1A3D" w14:textId="74B81D52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Prowadzenie diagnozy w zakresie problematyki przeciwdziałania przemocy w rodzinie</w:t>
      </w:r>
      <w:r w:rsidR="0088002E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 celu poznania sytuacji osób dotkniętych przemocą w rodzinie, skali problemów, możliwości pomocy</w:t>
      </w:r>
      <w:r>
        <w:rPr>
          <w:rFonts w:eastAsiaTheme="minorHAnsi" w:cs="Arial"/>
          <w:szCs w:val="22"/>
          <w:lang w:eastAsia="en-US"/>
        </w:rPr>
        <w:t>;</w:t>
      </w:r>
    </w:p>
    <w:p w14:paraId="6F9E81AE" w14:textId="77777777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Zapewnienie profesjonalnej pomocy osobom dotkniętym przemocą w rodzinie poprzez zintegrowane działanie służb w środowisku lokalnym</w:t>
      </w:r>
      <w:r>
        <w:rPr>
          <w:rFonts w:eastAsiaTheme="minorHAnsi" w:cs="Arial"/>
          <w:szCs w:val="22"/>
          <w:lang w:eastAsia="en-US"/>
        </w:rPr>
        <w:t>;</w:t>
      </w:r>
    </w:p>
    <w:p w14:paraId="2EE1E327" w14:textId="77777777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Wsparcie i wzmocnienie lokalnych systemów przeciwdziałania przemocy w rodzinie</w:t>
      </w:r>
      <w:r>
        <w:rPr>
          <w:rFonts w:eastAsiaTheme="minorHAnsi" w:cs="Arial"/>
          <w:szCs w:val="22"/>
          <w:lang w:eastAsia="en-US"/>
        </w:rPr>
        <w:t>;</w:t>
      </w:r>
    </w:p>
    <w:p w14:paraId="2AD41B39" w14:textId="77777777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Edukacja i szkolenie kadr działających w obszarze przeciwdziałania przemocy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rodzinie</w:t>
      </w:r>
      <w:r>
        <w:rPr>
          <w:rFonts w:eastAsiaTheme="minorHAnsi" w:cs="Arial"/>
          <w:szCs w:val="22"/>
          <w:lang w:eastAsia="en-US"/>
        </w:rPr>
        <w:t>;</w:t>
      </w:r>
    </w:p>
    <w:p w14:paraId="26251B32" w14:textId="77777777" w:rsidR="00E40212" w:rsidRPr="00B8521D" w:rsidRDefault="00E40212" w:rsidP="00E40212">
      <w:pPr>
        <w:numPr>
          <w:ilvl w:val="0"/>
          <w:numId w:val="7"/>
        </w:numPr>
        <w:spacing w:before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Monitorowanie i ewaluacja ramowego programu ochrony ofiar przemocy w rodzinie.</w:t>
      </w:r>
    </w:p>
    <w:p w14:paraId="78911D8F" w14:textId="7B8578B3" w:rsidR="00E40212" w:rsidRPr="0034074B" w:rsidRDefault="00E40212" w:rsidP="009772E2">
      <w:pPr>
        <w:pStyle w:val="Nagwek1"/>
        <w:numPr>
          <w:ilvl w:val="0"/>
          <w:numId w:val="14"/>
        </w:numPr>
      </w:pPr>
      <w:bookmarkStart w:id="6" w:name="_Toc103158310"/>
      <w:r w:rsidRPr="0034074B">
        <w:lastRenderedPageBreak/>
        <w:t>Adresaci programu</w:t>
      </w:r>
      <w:bookmarkEnd w:id="6"/>
    </w:p>
    <w:p w14:paraId="7227F354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Adresaci programu to osoby doświadczające przemocy w rodzinie, w tym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 xml:space="preserve">w szczególności: </w:t>
      </w:r>
    </w:p>
    <w:p w14:paraId="01AECB71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os</w:t>
      </w:r>
      <w:r w:rsidRPr="00B8521D">
        <w:rPr>
          <w:rFonts w:eastAsiaTheme="minorHAnsi" w:cs="Arial"/>
          <w:szCs w:val="22"/>
          <w:lang w:eastAsia="en-US"/>
        </w:rPr>
        <w:t>oby dotknięte przemocą w rodzinie, w tym m. in. dzieci i młodzież, współmałżonkowie lub partnerzy, osoby starsze i niepełnosprawne</w:t>
      </w:r>
      <w:r>
        <w:rPr>
          <w:rFonts w:eastAsiaTheme="minorHAnsi" w:cs="Arial"/>
          <w:szCs w:val="22"/>
          <w:lang w:eastAsia="en-US"/>
        </w:rPr>
        <w:t>;</w:t>
      </w:r>
    </w:p>
    <w:p w14:paraId="29BF4D26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soby zagrożone przemocą w rodzinie</w:t>
      </w:r>
      <w:r>
        <w:rPr>
          <w:rFonts w:eastAsiaTheme="minorHAnsi" w:cs="Arial"/>
          <w:szCs w:val="22"/>
          <w:lang w:eastAsia="en-US"/>
        </w:rPr>
        <w:t>;</w:t>
      </w:r>
    </w:p>
    <w:p w14:paraId="2AFF6CE5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soby stosujące przemoc w rodzinie</w:t>
      </w:r>
      <w:r>
        <w:rPr>
          <w:rFonts w:eastAsiaTheme="minorHAnsi" w:cs="Arial"/>
          <w:szCs w:val="22"/>
          <w:lang w:eastAsia="en-US"/>
        </w:rPr>
        <w:t>;</w:t>
      </w:r>
    </w:p>
    <w:p w14:paraId="24015F9D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ś</w:t>
      </w:r>
      <w:r w:rsidRPr="00B8521D">
        <w:rPr>
          <w:rFonts w:eastAsiaTheme="minorHAnsi" w:cs="Arial"/>
          <w:szCs w:val="22"/>
          <w:lang w:eastAsia="en-US"/>
        </w:rPr>
        <w:t>wiadkowie przemocy w rodzinie.</w:t>
      </w:r>
    </w:p>
    <w:p w14:paraId="63BDDC61" w14:textId="77777777" w:rsidR="00E40212" w:rsidRPr="00B8521D" w:rsidRDefault="00E40212" w:rsidP="00E40212">
      <w:pPr>
        <w:spacing w:before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Badania wskazują że dominującą grupą wśród osób doświadczających przemocy są kobiety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dzieci, jednak nie należy marginalizować sytuacji, w których ofiarami przemocy są mężczyźni.</w:t>
      </w:r>
    </w:p>
    <w:p w14:paraId="05BC66FC" w14:textId="77777777" w:rsidR="00E40212" w:rsidRPr="0034074B" w:rsidRDefault="00E40212" w:rsidP="00EE16EC">
      <w:pPr>
        <w:pStyle w:val="Nagwek1"/>
        <w:numPr>
          <w:ilvl w:val="0"/>
          <w:numId w:val="14"/>
        </w:numPr>
      </w:pPr>
      <w:bookmarkStart w:id="7" w:name="_Toc103158311"/>
      <w:r w:rsidRPr="0034074B">
        <w:t>Realizatorzy programu w województwie lubelskim</w:t>
      </w:r>
      <w:bookmarkEnd w:id="7"/>
      <w:r w:rsidRPr="0034074B">
        <w:t xml:space="preserve"> </w:t>
      </w:r>
    </w:p>
    <w:p w14:paraId="27C77AAF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Ustawa o przeciwdziałaniu przemocy w rodzinie określa katalog podmiotów mogących realizować program ochrony ofiar przemocy i ich zadania. Wśród nich znajdują się:</w:t>
      </w:r>
    </w:p>
    <w:p w14:paraId="2ABA5AB3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</w:t>
      </w:r>
      <w:r w:rsidRPr="00B8521D">
        <w:rPr>
          <w:rFonts w:eastAsiaTheme="minorHAnsi" w:cs="Arial"/>
          <w:szCs w:val="22"/>
          <w:lang w:eastAsia="en-US"/>
        </w:rPr>
        <w:t>amorząd gminny, samorząd powiatowy i samorząd wojewódzk</w:t>
      </w:r>
      <w:r>
        <w:rPr>
          <w:rFonts w:eastAsiaTheme="minorHAnsi" w:cs="Arial"/>
          <w:szCs w:val="22"/>
          <w:lang w:eastAsia="en-US"/>
        </w:rPr>
        <w:t>i;</w:t>
      </w:r>
    </w:p>
    <w:p w14:paraId="4A3657AC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</w:t>
      </w:r>
      <w:r w:rsidRPr="00B8521D">
        <w:rPr>
          <w:rFonts w:eastAsiaTheme="minorHAnsi" w:cs="Arial"/>
          <w:szCs w:val="22"/>
          <w:lang w:eastAsia="en-US"/>
        </w:rPr>
        <w:t>ednostki organizacyjne pomocy społecznej</w:t>
      </w:r>
      <w:r>
        <w:rPr>
          <w:rFonts w:eastAsiaTheme="minorHAnsi" w:cs="Arial"/>
          <w:szCs w:val="22"/>
          <w:lang w:eastAsia="en-US"/>
        </w:rPr>
        <w:t>;</w:t>
      </w:r>
    </w:p>
    <w:p w14:paraId="21CE48BD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</w:t>
      </w:r>
      <w:r w:rsidRPr="00B8521D">
        <w:rPr>
          <w:rFonts w:eastAsiaTheme="minorHAnsi" w:cs="Arial"/>
          <w:szCs w:val="22"/>
          <w:lang w:eastAsia="en-US"/>
        </w:rPr>
        <w:t>pecjalistyczne ośrodki wsparcia dla ofiar przemocy w rodzinie</w:t>
      </w:r>
      <w:r>
        <w:rPr>
          <w:rFonts w:eastAsiaTheme="minorHAnsi" w:cs="Arial"/>
          <w:szCs w:val="22"/>
          <w:lang w:eastAsia="en-US"/>
        </w:rPr>
        <w:t>;</w:t>
      </w:r>
    </w:p>
    <w:p w14:paraId="01C939AE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rganizacje pozarządowe</w:t>
      </w:r>
      <w:r>
        <w:rPr>
          <w:rFonts w:eastAsiaTheme="minorHAnsi" w:cs="Arial"/>
          <w:szCs w:val="22"/>
          <w:lang w:eastAsia="en-US"/>
        </w:rPr>
        <w:t>;</w:t>
      </w:r>
    </w:p>
    <w:p w14:paraId="1FB67279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</w:t>
      </w:r>
      <w:r w:rsidRPr="00B8521D">
        <w:rPr>
          <w:rFonts w:eastAsiaTheme="minorHAnsi" w:cs="Arial"/>
          <w:szCs w:val="22"/>
          <w:lang w:eastAsia="en-US"/>
        </w:rPr>
        <w:t>ednostki wymiaru sprawiedliwości</w:t>
      </w:r>
      <w:r>
        <w:rPr>
          <w:rFonts w:eastAsiaTheme="minorHAnsi" w:cs="Arial"/>
          <w:szCs w:val="22"/>
          <w:lang w:eastAsia="en-US"/>
        </w:rPr>
        <w:t>;</w:t>
      </w:r>
    </w:p>
    <w:p w14:paraId="35525085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</w:t>
      </w:r>
      <w:r w:rsidRPr="00B8521D">
        <w:rPr>
          <w:rFonts w:eastAsiaTheme="minorHAnsi" w:cs="Arial"/>
          <w:szCs w:val="22"/>
          <w:lang w:eastAsia="en-US"/>
        </w:rPr>
        <w:t>ednostki ochrony porządku publicznego</w:t>
      </w:r>
      <w:r>
        <w:rPr>
          <w:rFonts w:eastAsiaTheme="minorHAnsi" w:cs="Arial"/>
          <w:szCs w:val="22"/>
          <w:lang w:eastAsia="en-US"/>
        </w:rPr>
        <w:t>;</w:t>
      </w:r>
    </w:p>
    <w:p w14:paraId="31E7D084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B8521D">
        <w:rPr>
          <w:rFonts w:eastAsiaTheme="minorHAnsi" w:cs="Arial"/>
          <w:szCs w:val="22"/>
          <w:lang w:eastAsia="en-US"/>
        </w:rPr>
        <w:t>lacówki oświaty</w:t>
      </w:r>
      <w:r>
        <w:rPr>
          <w:rFonts w:eastAsiaTheme="minorHAnsi" w:cs="Arial"/>
          <w:szCs w:val="22"/>
          <w:lang w:eastAsia="en-US"/>
        </w:rPr>
        <w:t>;</w:t>
      </w:r>
    </w:p>
    <w:p w14:paraId="25371565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B8521D">
        <w:rPr>
          <w:rFonts w:eastAsiaTheme="minorHAnsi" w:cs="Arial"/>
          <w:szCs w:val="22"/>
          <w:lang w:eastAsia="en-US"/>
        </w:rPr>
        <w:t>lacówki służby zdrowia</w:t>
      </w:r>
      <w:r>
        <w:rPr>
          <w:rFonts w:eastAsiaTheme="minorHAnsi" w:cs="Arial"/>
          <w:szCs w:val="22"/>
          <w:lang w:eastAsia="en-US"/>
        </w:rPr>
        <w:t>;</w:t>
      </w:r>
    </w:p>
    <w:p w14:paraId="4D3C9B6F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k</w:t>
      </w:r>
      <w:r w:rsidRPr="00B8521D">
        <w:rPr>
          <w:rFonts w:eastAsiaTheme="minorHAnsi" w:cs="Arial"/>
          <w:szCs w:val="22"/>
          <w:lang w:eastAsia="en-US"/>
        </w:rPr>
        <w:t>omisje rozwiązywania problemów alkoholowych</w:t>
      </w:r>
      <w:r>
        <w:rPr>
          <w:rFonts w:eastAsiaTheme="minorHAnsi" w:cs="Arial"/>
          <w:szCs w:val="22"/>
          <w:lang w:eastAsia="en-US"/>
        </w:rPr>
        <w:t>;</w:t>
      </w:r>
    </w:p>
    <w:p w14:paraId="2923BFB3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</w:t>
      </w:r>
      <w:r w:rsidRPr="00B8521D">
        <w:rPr>
          <w:rFonts w:eastAsiaTheme="minorHAnsi" w:cs="Arial"/>
          <w:szCs w:val="22"/>
          <w:lang w:eastAsia="en-US"/>
        </w:rPr>
        <w:t>nne podmioty, w tym przede wszystkim zespoły interdyscyplinarne do spraw przeciwdziałania przemocy w rodzinie oraz punkty konsultacyjne, punkty interwencji kryzysowej, poradnie rodzinne, schroniska, hostele.</w:t>
      </w:r>
    </w:p>
    <w:p w14:paraId="5B7E0FB7" w14:textId="77777777" w:rsidR="00E40212" w:rsidRPr="00B8521D" w:rsidRDefault="00E40212" w:rsidP="00E40212">
      <w:pPr>
        <w:spacing w:before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Biorąc pod uwagę powyższy katalog podmiotów należy zauważyć że w województwie lubelskim funkcjonuje: 1 Regionalny Ośrodek Polityki Społecznej w Lublinie, 24 Powiatowe Centra Pomocy Rodzinie, 213 Ośrodków Pomocy Społecznej, 72 Poradnie Psychologiczno-Pedagogiczne, 2 Sądy Okręgowe i 18 Sądów Rejonowych; 1 Rodzinny Ośrodek Diagnostyczno-Konsultacyjny; 3 Opiniodawcze Zespoły Sądowych Specjalistów działających przy Sądach Okręgowych; 1 Prokuratura Okręgowa i 21 Prokuratur Rejonowych, 1 Komenda Wojewódzka Policji, 4 Komendy Miejskie Policji, 16 Komend Powiatowych Policji, 35 jednostek poradnictwa specjalistycznego, 14 placówek zapewniających miejsca noclegowe, 76 punktów </w:t>
      </w:r>
      <w:r w:rsidRPr="00B8521D">
        <w:rPr>
          <w:rFonts w:eastAsiaTheme="minorHAnsi" w:cs="Arial"/>
          <w:szCs w:val="22"/>
          <w:lang w:eastAsia="en-US"/>
        </w:rPr>
        <w:lastRenderedPageBreak/>
        <w:t>konsultacyjnych, w których prowadzone jest poradnictwo dla osób dotkniętych przemocą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rodzinie, 13 ośrodków interwencji kryzysowej.</w:t>
      </w:r>
    </w:p>
    <w:p w14:paraId="0E2DC995" w14:textId="77777777" w:rsidR="00E40212" w:rsidRPr="0034074B" w:rsidRDefault="00E40212" w:rsidP="00EE16EC">
      <w:pPr>
        <w:pStyle w:val="Nagwek1"/>
        <w:numPr>
          <w:ilvl w:val="0"/>
          <w:numId w:val="14"/>
        </w:numPr>
      </w:pPr>
      <w:bookmarkStart w:id="8" w:name="_Toc103158312"/>
      <w:r w:rsidRPr="0034074B">
        <w:t>Działania</w:t>
      </w:r>
      <w:bookmarkEnd w:id="8"/>
      <w:r w:rsidRPr="0034074B">
        <w:t xml:space="preserve"> </w:t>
      </w:r>
    </w:p>
    <w:p w14:paraId="0D9B1467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Działania podejmowane w ramach programu powinny odpowiadać postawionym celom, dlatego możemy tu wyróżnić następujące działania:</w:t>
      </w:r>
    </w:p>
    <w:p w14:paraId="116A5A89" w14:textId="77777777" w:rsidR="00E40212" w:rsidRPr="00B8521D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 xml:space="preserve"> obszarze diagnozy:</w:t>
      </w:r>
    </w:p>
    <w:p w14:paraId="381FE634" w14:textId="77777777" w:rsidR="00E40212" w:rsidRPr="00B8521D" w:rsidRDefault="00E40212" w:rsidP="00E40212">
      <w:pPr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</w:t>
      </w:r>
      <w:r>
        <w:rPr>
          <w:rFonts w:eastAsiaTheme="minorHAnsi" w:cs="Arial"/>
          <w:szCs w:val="22"/>
          <w:lang w:eastAsia="en-US"/>
        </w:rPr>
        <w:tab/>
      </w:r>
      <w:r w:rsidRPr="00B8521D">
        <w:rPr>
          <w:rFonts w:eastAsiaTheme="minorHAnsi" w:cs="Arial"/>
          <w:szCs w:val="22"/>
          <w:lang w:eastAsia="en-US"/>
        </w:rPr>
        <w:t>ocena ryzyka zagrożenia życia i zdrowia, rozpoznanie sytuacji osób doświadczających przemocy w rodzinie</w:t>
      </w:r>
      <w:r>
        <w:rPr>
          <w:rFonts w:eastAsiaTheme="minorHAnsi" w:cs="Arial"/>
          <w:szCs w:val="22"/>
          <w:lang w:eastAsia="en-US"/>
        </w:rPr>
        <w:t>;</w:t>
      </w:r>
    </w:p>
    <w:p w14:paraId="3ACF27B7" w14:textId="77777777" w:rsidR="00E40212" w:rsidRPr="00B8521D" w:rsidRDefault="00E40212" w:rsidP="00E40212">
      <w:pPr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- </w:t>
      </w:r>
      <w:r>
        <w:rPr>
          <w:rFonts w:eastAsiaTheme="minorHAnsi" w:cs="Arial"/>
          <w:szCs w:val="22"/>
          <w:lang w:eastAsia="en-US"/>
        </w:rPr>
        <w:tab/>
      </w:r>
      <w:r w:rsidRPr="00B8521D">
        <w:rPr>
          <w:rFonts w:eastAsiaTheme="minorHAnsi" w:cs="Arial"/>
          <w:szCs w:val="22"/>
          <w:lang w:eastAsia="en-US"/>
        </w:rPr>
        <w:t>opracowanie wstępnego planu pomocy rodzinie w sytuacji przemocy</w:t>
      </w:r>
      <w:r>
        <w:rPr>
          <w:rFonts w:eastAsiaTheme="minorHAnsi" w:cs="Arial"/>
          <w:szCs w:val="22"/>
          <w:lang w:eastAsia="en-US"/>
        </w:rPr>
        <w:t>;</w:t>
      </w:r>
    </w:p>
    <w:p w14:paraId="3833749E" w14:textId="77777777" w:rsidR="00E40212" w:rsidRPr="00B8521D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 xml:space="preserve"> obszarze interwencji i wsparcia służb działających w środowisku lokalnym:</w:t>
      </w:r>
    </w:p>
    <w:p w14:paraId="290DA2C6" w14:textId="77777777" w:rsidR="00E40212" w:rsidRPr="00542E01" w:rsidRDefault="00E40212" w:rsidP="00E40212">
      <w:pPr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</w:t>
      </w:r>
      <w:r>
        <w:rPr>
          <w:rFonts w:eastAsiaTheme="minorHAnsi" w:cs="Arial"/>
          <w:szCs w:val="22"/>
          <w:lang w:eastAsia="en-US"/>
        </w:rPr>
        <w:tab/>
      </w:r>
      <w:r w:rsidRPr="00542E01">
        <w:rPr>
          <w:rFonts w:eastAsiaTheme="minorHAnsi" w:cs="Arial"/>
          <w:szCs w:val="22"/>
          <w:lang w:eastAsia="en-US"/>
        </w:rPr>
        <w:t>zapewnienie bezpieczeństwa osobom dotkniętym przemocą z wykorzystaniem środków ustawowych i możliwości instytucjonalnych;</w:t>
      </w:r>
    </w:p>
    <w:p w14:paraId="0B2A4373" w14:textId="77777777" w:rsidR="00E40212" w:rsidRPr="00542E01" w:rsidRDefault="00E40212" w:rsidP="00E40212">
      <w:pPr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zapewnienie profesjonalnej pomocy osobom dotkniętym przemocą w rodzinie, w tym</w:t>
      </w:r>
      <w:r w:rsidRPr="00542E01">
        <w:rPr>
          <w:rFonts w:eastAsiaTheme="minorHAnsi" w:cs="Arial"/>
          <w:szCs w:val="22"/>
          <w:lang w:eastAsia="en-US"/>
        </w:rPr>
        <w:br/>
        <w:t>w szczególności pomocy: medycznej, psychologicznej, pedagogicznej, prawnej, socjalnej, zawodowej, rodzinnej;</w:t>
      </w:r>
    </w:p>
    <w:p w14:paraId="6F6A4B1F" w14:textId="77777777" w:rsidR="00E40212" w:rsidRPr="00B8521D" w:rsidRDefault="00E40212" w:rsidP="00E40212">
      <w:pPr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monitorowanie sytuacji rodzin objętych wsparciem;</w:t>
      </w:r>
    </w:p>
    <w:p w14:paraId="5BD0D4E1" w14:textId="77777777" w:rsidR="00E40212" w:rsidRPr="00542E01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w obszarze wspierania i wzmacniania lokalnych systemów przeciwdziałania przemocy</w:t>
      </w:r>
      <w:r w:rsidRPr="00542E01">
        <w:rPr>
          <w:rFonts w:eastAsiaTheme="minorHAnsi" w:cs="Arial"/>
          <w:szCs w:val="22"/>
          <w:lang w:eastAsia="en-US"/>
        </w:rPr>
        <w:br/>
        <w:t xml:space="preserve">w rodzinie: </w:t>
      </w:r>
    </w:p>
    <w:p w14:paraId="758395E0" w14:textId="77777777" w:rsidR="00E40212" w:rsidRPr="00542E01" w:rsidRDefault="00E40212" w:rsidP="00E40212">
      <w:pPr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 xml:space="preserve">- </w:t>
      </w:r>
      <w:r w:rsidRPr="00542E01">
        <w:rPr>
          <w:rFonts w:eastAsiaTheme="minorHAnsi" w:cs="Arial"/>
          <w:szCs w:val="22"/>
          <w:lang w:eastAsia="en-US"/>
        </w:rPr>
        <w:tab/>
        <w:t>rozwijanie i doskonalenie służb poprzez szkolenia, seminaria, konferencje, kampanie;</w:t>
      </w:r>
    </w:p>
    <w:p w14:paraId="54199FEB" w14:textId="77777777" w:rsidR="00E40212" w:rsidRPr="00542E01" w:rsidRDefault="00E40212" w:rsidP="00E40212">
      <w:pPr>
        <w:tabs>
          <w:tab w:val="left" w:pos="284"/>
        </w:tabs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promowanie dobrych praktyk w zakresie zintegrowanej współpracy służb lokalnych;</w:t>
      </w:r>
    </w:p>
    <w:p w14:paraId="7618E9C9" w14:textId="77777777" w:rsidR="00E40212" w:rsidRPr="00542E01" w:rsidRDefault="00E40212" w:rsidP="00E40212">
      <w:pPr>
        <w:tabs>
          <w:tab w:val="left" w:pos="284"/>
        </w:tabs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stworzenie, zapewnienie właściwej infrastruktury do prowadzenia pracy z osobami  dotkniętymi przemocą;</w:t>
      </w:r>
    </w:p>
    <w:p w14:paraId="34CDC80B" w14:textId="77777777" w:rsidR="00E40212" w:rsidRPr="00542E01" w:rsidRDefault="00E40212" w:rsidP="00E40212">
      <w:pPr>
        <w:tabs>
          <w:tab w:val="left" w:pos="284"/>
        </w:tabs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tworzenie i wspieranie placówek wspierających osoby dotknięte przemocą;</w:t>
      </w:r>
    </w:p>
    <w:p w14:paraId="558029EF" w14:textId="77777777" w:rsidR="00E40212" w:rsidRPr="00542E01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w obszarze profesjonalizacji kadr:</w:t>
      </w:r>
    </w:p>
    <w:p w14:paraId="30D58ACB" w14:textId="71F5F41E" w:rsidR="00E40212" w:rsidRPr="00B8521D" w:rsidRDefault="00E40212" w:rsidP="00E40212">
      <w:pPr>
        <w:tabs>
          <w:tab w:val="left" w:pos="567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</w:r>
      <w:r w:rsidRPr="00542E01">
        <w:rPr>
          <w:rFonts w:eastAsiaTheme="minorHAnsi" w:cs="Arial"/>
          <w:b/>
          <w:bCs/>
          <w:szCs w:val="22"/>
          <w:lang w:eastAsia="en-US"/>
        </w:rPr>
        <w:t>podnoszenie kompetencji</w:t>
      </w:r>
      <w:r w:rsidRPr="00542E01">
        <w:rPr>
          <w:rFonts w:eastAsiaTheme="minorHAnsi" w:cs="Arial"/>
          <w:szCs w:val="22"/>
          <w:lang w:eastAsia="en-US"/>
        </w:rPr>
        <w:t xml:space="preserve"> osób zajmujących się pomocą osobom dotkniętym przemocą zgodnie z wytycznymi do prowadzenia szkoleń w zakresie przeciwdziałania przemocy</w:t>
      </w:r>
      <w:r w:rsidR="003D3119">
        <w:rPr>
          <w:rFonts w:eastAsiaTheme="minorHAnsi" w:cs="Arial"/>
          <w:szCs w:val="22"/>
          <w:lang w:eastAsia="en-US"/>
        </w:rPr>
        <w:t xml:space="preserve"> </w:t>
      </w:r>
      <w:r w:rsidRPr="00542E01">
        <w:rPr>
          <w:rFonts w:eastAsiaTheme="minorHAnsi" w:cs="Arial"/>
          <w:szCs w:val="22"/>
          <w:lang w:eastAsia="en-US"/>
        </w:rPr>
        <w:t>w rodzinie opracowywanymi na mocy art. 8 pkt 5  ustawy z dnia 29 lipca 2005 r.</w:t>
      </w:r>
      <w:r w:rsidR="003D3119">
        <w:rPr>
          <w:rFonts w:eastAsiaTheme="minorHAnsi" w:cs="Arial"/>
          <w:szCs w:val="22"/>
          <w:lang w:eastAsia="en-US"/>
        </w:rPr>
        <w:t xml:space="preserve"> </w:t>
      </w:r>
      <w:r w:rsidRPr="00542E01">
        <w:rPr>
          <w:rFonts w:eastAsiaTheme="minorHAnsi" w:cs="Arial"/>
          <w:szCs w:val="22"/>
          <w:lang w:eastAsia="en-US"/>
        </w:rPr>
        <w:t>o przeciwdziałaniu przemocy w rodzinie (Dz. U. z 2021 r. poz. 1249), który wskazuje że minister właściwy do spraw zabezpieczenia społecznego jest zobowiązany do opracowania oraz wydania co najmniej raz na dwa lata wytycznych do prowadzenia szkoleń w zakresie przeciwdziałania przemocy w rodzinie.</w:t>
      </w:r>
    </w:p>
    <w:p w14:paraId="0B3A66D7" w14:textId="77777777" w:rsidR="00E40212" w:rsidRPr="00B8521D" w:rsidRDefault="00E40212" w:rsidP="004A7D65">
      <w:pPr>
        <w:spacing w:before="120" w:after="120"/>
        <w:ind w:left="567" w:firstLine="141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Zaleca się przede wszystkim prowadzenie szkoleń w formie warsztatowej lub wspieranie ukończenia specjalizacji w zakresie:</w:t>
      </w:r>
    </w:p>
    <w:p w14:paraId="5A87F875" w14:textId="77777777" w:rsidR="00E40212" w:rsidRPr="00B8521D" w:rsidRDefault="00E40212" w:rsidP="00E40212">
      <w:pPr>
        <w:numPr>
          <w:ilvl w:val="1"/>
          <w:numId w:val="13"/>
        </w:numPr>
        <w:spacing w:before="120" w:after="120"/>
        <w:ind w:left="851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lastRenderedPageBreak/>
        <w:t>doskonalenia umiejętności rozpoznawania potrzeb osób dotkniętych przemocą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doskonalenia umiejętności doboru właściwych strategii postępowania;</w:t>
      </w:r>
    </w:p>
    <w:p w14:paraId="2D537CBE" w14:textId="77777777" w:rsidR="00E40212" w:rsidRPr="00B8521D" w:rsidRDefault="00E40212" w:rsidP="00E40212">
      <w:pPr>
        <w:numPr>
          <w:ilvl w:val="1"/>
          <w:numId w:val="13"/>
        </w:numPr>
        <w:spacing w:before="120" w:after="120"/>
        <w:ind w:left="851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 podnoszenia jakości udzielanej pomocy</w:t>
      </w:r>
      <w:r>
        <w:rPr>
          <w:rFonts w:eastAsiaTheme="minorHAnsi" w:cs="Arial"/>
          <w:szCs w:val="22"/>
          <w:lang w:eastAsia="en-US"/>
        </w:rPr>
        <w:t>;</w:t>
      </w:r>
    </w:p>
    <w:p w14:paraId="76E54F80" w14:textId="77777777" w:rsidR="00E40212" w:rsidRPr="00B8521D" w:rsidRDefault="00E40212" w:rsidP="00E40212">
      <w:pPr>
        <w:tabs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</w:t>
      </w:r>
      <w:r>
        <w:rPr>
          <w:rFonts w:eastAsiaTheme="minorHAnsi" w:cs="Arial"/>
          <w:szCs w:val="22"/>
          <w:lang w:eastAsia="en-US"/>
        </w:rPr>
        <w:tab/>
      </w:r>
      <w:proofErr w:type="spellStart"/>
      <w:r w:rsidRPr="00B8521D">
        <w:rPr>
          <w:rFonts w:eastAsiaTheme="minorHAnsi" w:cs="Arial"/>
          <w:b/>
          <w:bCs/>
          <w:szCs w:val="22"/>
          <w:lang w:eastAsia="en-US"/>
        </w:rPr>
        <w:t>superwizja</w:t>
      </w:r>
      <w:proofErr w:type="spellEnd"/>
      <w:r w:rsidRPr="00B8521D">
        <w:rPr>
          <w:rFonts w:eastAsiaTheme="minorHAnsi" w:cs="Arial"/>
          <w:szCs w:val="22"/>
          <w:lang w:eastAsia="en-US"/>
        </w:rPr>
        <w:t xml:space="preserve"> pracy specjalistów</w:t>
      </w:r>
      <w:r>
        <w:rPr>
          <w:rFonts w:eastAsiaTheme="minorHAnsi" w:cs="Arial"/>
          <w:szCs w:val="22"/>
          <w:lang w:eastAsia="en-US"/>
        </w:rPr>
        <w:t>;</w:t>
      </w:r>
    </w:p>
    <w:p w14:paraId="5627D078" w14:textId="77777777" w:rsidR="00E40212" w:rsidRPr="00B8521D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 xml:space="preserve"> obszarze monitoringu i ewaluacji:</w:t>
      </w:r>
    </w:p>
    <w:p w14:paraId="507565E2" w14:textId="77777777" w:rsidR="00E40212" w:rsidRPr="004034F7" w:rsidRDefault="00E40212" w:rsidP="00E40212">
      <w:pPr>
        <w:tabs>
          <w:tab w:val="left" w:pos="142"/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- </w:t>
      </w:r>
      <w:r>
        <w:rPr>
          <w:rFonts w:eastAsiaTheme="minorHAnsi" w:cs="Arial"/>
          <w:szCs w:val="22"/>
          <w:lang w:eastAsia="en-US"/>
        </w:rPr>
        <w:tab/>
      </w:r>
      <w:r w:rsidRPr="004034F7">
        <w:rPr>
          <w:rFonts w:eastAsiaTheme="minorHAnsi" w:cs="Arial"/>
          <w:szCs w:val="22"/>
          <w:lang w:eastAsia="en-US"/>
        </w:rPr>
        <w:t>określenie czasu monitorowania,</w:t>
      </w:r>
    </w:p>
    <w:p w14:paraId="42D26438" w14:textId="77777777" w:rsidR="00E40212" w:rsidRPr="004034F7" w:rsidRDefault="00E40212" w:rsidP="00E40212">
      <w:pPr>
        <w:tabs>
          <w:tab w:val="left" w:pos="142"/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4034F7">
        <w:rPr>
          <w:rFonts w:eastAsiaTheme="minorHAnsi" w:cs="Arial"/>
          <w:szCs w:val="22"/>
          <w:lang w:eastAsia="en-US"/>
        </w:rPr>
        <w:t xml:space="preserve">- </w:t>
      </w:r>
      <w:r w:rsidRPr="004034F7">
        <w:rPr>
          <w:rFonts w:eastAsiaTheme="minorHAnsi" w:cs="Arial"/>
          <w:szCs w:val="22"/>
          <w:lang w:eastAsia="en-US"/>
        </w:rPr>
        <w:tab/>
        <w:t>określenie podmiotów odpowiedzialnych za prowadzenie monitoringu,</w:t>
      </w:r>
    </w:p>
    <w:p w14:paraId="1C5B9F5F" w14:textId="77777777" w:rsidR="00E40212" w:rsidRPr="004034F7" w:rsidRDefault="00E40212" w:rsidP="00E40212">
      <w:pPr>
        <w:tabs>
          <w:tab w:val="left" w:pos="142"/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4034F7">
        <w:rPr>
          <w:rFonts w:eastAsiaTheme="minorHAnsi" w:cs="Arial"/>
          <w:szCs w:val="22"/>
          <w:lang w:eastAsia="en-US"/>
        </w:rPr>
        <w:t xml:space="preserve">- </w:t>
      </w:r>
      <w:r w:rsidRPr="004034F7">
        <w:rPr>
          <w:rFonts w:eastAsiaTheme="minorHAnsi" w:cs="Arial"/>
          <w:szCs w:val="22"/>
          <w:lang w:eastAsia="en-US"/>
        </w:rPr>
        <w:tab/>
        <w:t>prowadzenie dokumentacji dotyczącej monitoringu,</w:t>
      </w:r>
    </w:p>
    <w:p w14:paraId="01FDCFFD" w14:textId="77777777" w:rsidR="00E40212" w:rsidRPr="00B8521D" w:rsidRDefault="00E40212" w:rsidP="00E40212">
      <w:pPr>
        <w:tabs>
          <w:tab w:val="left" w:pos="142"/>
          <w:tab w:val="left" w:pos="284"/>
        </w:tabs>
        <w:spacing w:before="120"/>
        <w:ind w:left="567" w:hanging="283"/>
        <w:rPr>
          <w:rFonts w:eastAsiaTheme="minorHAnsi" w:cs="Arial"/>
          <w:szCs w:val="22"/>
          <w:lang w:eastAsia="en-US"/>
        </w:rPr>
      </w:pPr>
      <w:r w:rsidRPr="004034F7">
        <w:rPr>
          <w:rFonts w:eastAsiaTheme="minorHAnsi" w:cs="Arial"/>
          <w:szCs w:val="22"/>
          <w:lang w:eastAsia="en-US"/>
        </w:rPr>
        <w:t xml:space="preserve">- </w:t>
      </w:r>
      <w:r w:rsidRPr="004034F7">
        <w:rPr>
          <w:rFonts w:eastAsiaTheme="minorHAnsi" w:cs="Arial"/>
          <w:szCs w:val="22"/>
          <w:lang w:eastAsia="en-US"/>
        </w:rPr>
        <w:tab/>
        <w:t>przeprowadzanie i dokumentowanie ewaluacji.</w:t>
      </w:r>
    </w:p>
    <w:p w14:paraId="0120D389" w14:textId="642DCE78" w:rsidR="00E40212" w:rsidRPr="00B75B6D" w:rsidRDefault="00E40212" w:rsidP="00EE16EC">
      <w:pPr>
        <w:pStyle w:val="Nagwek1"/>
        <w:numPr>
          <w:ilvl w:val="0"/>
          <w:numId w:val="14"/>
        </w:numPr>
      </w:pPr>
      <w:bookmarkStart w:id="9" w:name="_Toc103158313"/>
      <w:r w:rsidRPr="00B75B6D">
        <w:t>Wskazówki dla realizatorów programu</w:t>
      </w:r>
      <w:bookmarkEnd w:id="9"/>
    </w:p>
    <w:p w14:paraId="635FF235" w14:textId="77777777" w:rsidR="00E40212" w:rsidRPr="00B8521D" w:rsidRDefault="00E40212" w:rsidP="00E40212">
      <w:pPr>
        <w:autoSpaceDE w:val="0"/>
        <w:autoSpaceDN w:val="0"/>
        <w:adjustRightInd w:val="0"/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Przy konstruowaniu oraz realizacji programów ochrony i pomocy osobom doznającym przemocy w rodzinie pożądane jest uwzględnienie podstawowych przekonań dotyczących specyfiki zjawiska przemocy domowej i sposobów jej powstrzymywania. Poniższe założenia oparte są na aktualnym stanie wiedzy:</w:t>
      </w:r>
    </w:p>
    <w:p w14:paraId="72DBB802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Przemoc domowa jest zjawiskiem szkodliwym i polega na wykorzystywaniu siły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przewagi wobec osób słabszych, naruszającym ich prawa i powodującym szkody psychiczne, fizyczne i moralne</w:t>
      </w:r>
      <w:r>
        <w:rPr>
          <w:rFonts w:eastAsiaTheme="minorHAnsi" w:cs="Arial"/>
          <w:szCs w:val="22"/>
          <w:lang w:eastAsia="en-US"/>
        </w:rPr>
        <w:t>;</w:t>
      </w:r>
    </w:p>
    <w:p w14:paraId="722F0CE0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Przemoc w rodzinie jest procesem charakteryzującym się swoistym przebiegiem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 xml:space="preserve">dynamiką relacji opisanym poprzez cykle przemocy i specyficzne dla niej mechanizmy psychologiczne. Zachowania osób doświadczających przemocy i strategie radzenia sobie z przemocą są wynikiem działania czynników podmiotowych i sytuacyjnych. Przypisywanie nieracjonalności osobom pokrzywdzonym jest uproszczeniem prowadzącym do krzywdzących ocen i wtórnej </w:t>
      </w:r>
      <w:proofErr w:type="spellStart"/>
      <w:r w:rsidRPr="00596051">
        <w:rPr>
          <w:rFonts w:eastAsiaTheme="minorHAnsi" w:cs="Arial"/>
          <w:szCs w:val="22"/>
          <w:lang w:eastAsia="en-US"/>
        </w:rPr>
        <w:t>wiktymizacji</w:t>
      </w:r>
      <w:proofErr w:type="spellEnd"/>
      <w:r>
        <w:rPr>
          <w:rFonts w:eastAsiaTheme="minorHAnsi" w:cs="Arial"/>
          <w:szCs w:val="22"/>
          <w:lang w:eastAsia="en-US"/>
        </w:rPr>
        <w:t>;</w:t>
      </w:r>
    </w:p>
    <w:p w14:paraId="120DD9CD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 xml:space="preserve">Odpowiedzialność prawną i moralną za stosowanie przemocy ponosi sprawca czynu. Stosowanie przemocy nie może być usprawiedliwiane prowokacją czy zachowaniem ofiary. Rozumienia psychologicznych mechanizmów uwikłania ofiar w relacje ze sprawcą, w tym </w:t>
      </w:r>
      <w:proofErr w:type="spellStart"/>
      <w:r w:rsidRPr="00596051">
        <w:rPr>
          <w:rFonts w:eastAsiaTheme="minorHAnsi" w:cs="Arial"/>
          <w:szCs w:val="22"/>
          <w:lang w:eastAsia="en-US"/>
        </w:rPr>
        <w:t>zachowań</w:t>
      </w:r>
      <w:proofErr w:type="spellEnd"/>
      <w:r w:rsidRPr="00596051">
        <w:rPr>
          <w:rFonts w:eastAsiaTheme="minorHAnsi" w:cs="Arial"/>
          <w:szCs w:val="22"/>
          <w:lang w:eastAsia="en-US"/>
        </w:rPr>
        <w:t xml:space="preserve"> przyczyniających się do podtrzymywania przemocy, nie należy utożsamiać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z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odpowiedzialnością za przemoc w związku.</w:t>
      </w:r>
    </w:p>
    <w:p w14:paraId="38693AA8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 xml:space="preserve">Zjawisko przemocy domowej jest tolerowane i wzmacniane poprzez postawy oparte na stereotypach kulturowych, społecznych i obyczajowych (dotyczących między innymi: płci, ról społecznych, rasy, orientacji seksualnej), które przyczyniają się do </w:t>
      </w:r>
      <w:proofErr w:type="spellStart"/>
      <w:r w:rsidRPr="00596051">
        <w:rPr>
          <w:rFonts w:eastAsiaTheme="minorHAnsi" w:cs="Arial"/>
          <w:szCs w:val="22"/>
          <w:lang w:eastAsia="en-US"/>
        </w:rPr>
        <w:t>wiktymizujących</w:t>
      </w:r>
      <w:proofErr w:type="spellEnd"/>
      <w:r w:rsidRPr="00596051">
        <w:rPr>
          <w:rFonts w:eastAsiaTheme="minorHAnsi" w:cs="Arial"/>
          <w:szCs w:val="22"/>
          <w:lang w:eastAsia="en-US"/>
        </w:rPr>
        <w:t xml:space="preserve"> postaw wobec osób pokrzywdzonych</w:t>
      </w:r>
      <w:r>
        <w:rPr>
          <w:rFonts w:eastAsiaTheme="minorHAnsi" w:cs="Arial"/>
          <w:szCs w:val="22"/>
          <w:lang w:eastAsia="en-US"/>
        </w:rPr>
        <w:t>;</w:t>
      </w:r>
    </w:p>
    <w:p w14:paraId="37FC06D0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lastRenderedPageBreak/>
        <w:t>Czynnikiem powstrzymującym przemoc jest nieuchronność kary. Kara powstrzymuje przemoc, jednak nie wyposaża człowieka w narzędzia zmiany i efektywnego radzenia sobie bez użycia przemocy. Może stanowić istotny czynnik motywujący do poszukiwania pomocy</w:t>
      </w:r>
      <w:r>
        <w:rPr>
          <w:rFonts w:eastAsiaTheme="minorHAnsi" w:cs="Arial"/>
          <w:szCs w:val="22"/>
          <w:lang w:eastAsia="en-US"/>
        </w:rPr>
        <w:t>;</w:t>
      </w:r>
    </w:p>
    <w:p w14:paraId="5A9E33DA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Priorytetem w działaniach związanych z przeciwdziałaniem przemocy w rodzinie jest kwestia bezpieczeństwa. Przy dokonywaniu diagnozy, planowaniu i realizacji działań, szczególnie interwencyjnych i prawnych, należy ocenić realne poczucie bezpieczeństwa osób pokrzywdzonych, a w przypadku jego braku podjąć działania na rzecz jego zapewnienia</w:t>
      </w:r>
      <w:r>
        <w:rPr>
          <w:rFonts w:eastAsiaTheme="minorHAnsi" w:cs="Arial"/>
          <w:szCs w:val="22"/>
          <w:lang w:eastAsia="en-US"/>
        </w:rPr>
        <w:t>;</w:t>
      </w:r>
    </w:p>
    <w:p w14:paraId="02380751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Naczelną zasadą w pomaganiu osobom doświadczającym przemocy, którym poczucie mocy zostało odebrane, jest wzmacnianie poczucia podmiotowości i wpływu. Istotnym jest, aby osoby korzystające z pomocy czuły się podmiotem, a więc autorami planowanych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realizowanych zmian. Istotna okazuje się elastyczność działań – od dyrektywnych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(w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sytuacji zagrożenia i utraty kontroli nad sytuacją oraz własnym zachowaniem) po działania oparte na współpracy z poszanowaniem poziomu gotowości i tempa zmian osób pokrzywdzonych</w:t>
      </w:r>
      <w:r>
        <w:rPr>
          <w:rFonts w:eastAsiaTheme="minorHAnsi" w:cs="Arial"/>
          <w:szCs w:val="22"/>
          <w:lang w:eastAsia="en-US"/>
        </w:rPr>
        <w:t>;</w:t>
      </w:r>
    </w:p>
    <w:p w14:paraId="3A7D6F17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Przemoc domowa jest zjawiskiem wieloaspektowym, co pociąga za sobą konieczność zapewnienia osobom pokrzywdzonym pomocy o charakterze interdyscyplinarnym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kompleksowym. Działania pomocowe, szczególnie interwencyjne i prawne, powinny być planowane i realizowane w oparciu o współpracę służb, instytucji i organizacji pozarządowych, z wykorzystaniem ich uprawnień, możliwości i kompetencji. Ich efektem powinno być sformułowanie najbardziej adekwatnych, pożądanych form pomocy osobom znajdującym się w sytuacji kryzysu związanego z doświadczaniem przemocy w rodzinie. Pomoc powinna uwzględniać różne aspekty życia zarówno osób krzywdzonych, jak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sprawców przemocy. Wsparcie oraz pomoc psychologiczną, socjalną, materialną, medyczną i prawną powinna otrzymać cała rodzina. Formułą umożliwiającą realizację wymienionych działań jest praca metodą zespołu interdyscyplinarnego obejmująca:</w:t>
      </w:r>
    </w:p>
    <w:p w14:paraId="791B95D4" w14:textId="77777777" w:rsidR="00E40212" w:rsidRPr="00B8521D" w:rsidRDefault="00E40212" w:rsidP="00E40212">
      <w:pPr>
        <w:numPr>
          <w:ilvl w:val="2"/>
          <w:numId w:val="11"/>
        </w:numPr>
        <w:autoSpaceDE w:val="0"/>
        <w:autoSpaceDN w:val="0"/>
        <w:adjustRightInd w:val="0"/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diagnozę sytuacji osób znajdujących się w sytuacji kryzysu związanego z przemocą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rodzinie. Tworzenie wspólnego rozumienia sytuacji rodziny. Wykorzystanie zasobów rodziny/osób</w:t>
      </w:r>
      <w:r>
        <w:rPr>
          <w:rFonts w:eastAsiaTheme="minorHAnsi" w:cs="Arial"/>
          <w:szCs w:val="22"/>
          <w:lang w:eastAsia="en-US"/>
        </w:rPr>
        <w:t>;</w:t>
      </w:r>
    </w:p>
    <w:p w14:paraId="324FDA01" w14:textId="3C6C649D" w:rsidR="00E40212" w:rsidRPr="00B8521D" w:rsidRDefault="00E40212" w:rsidP="00E40212">
      <w:pPr>
        <w:numPr>
          <w:ilvl w:val="2"/>
          <w:numId w:val="11"/>
        </w:numPr>
        <w:autoSpaceDE w:val="0"/>
        <w:autoSpaceDN w:val="0"/>
        <w:adjustRightInd w:val="0"/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opracowanie indywidualnego planu pomocy osobie / rodzinie doznającej przemocy,</w:t>
      </w:r>
      <w:r w:rsidR="00FB5AF2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tym zaplanowanie działań i form pomocy</w:t>
      </w:r>
      <w:r>
        <w:rPr>
          <w:rFonts w:eastAsiaTheme="minorHAnsi" w:cs="Arial"/>
          <w:szCs w:val="22"/>
          <w:lang w:eastAsia="en-US"/>
        </w:rPr>
        <w:t>;</w:t>
      </w:r>
    </w:p>
    <w:p w14:paraId="3C6B3919" w14:textId="77777777" w:rsidR="00E40212" w:rsidRPr="00B8521D" w:rsidRDefault="00E40212" w:rsidP="00E40212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567" w:hanging="284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podział zadań i ich realizację, uwzględnienie woli, gotowości i bezpieczeństwa osób pokrzywdzonych.</w:t>
      </w:r>
    </w:p>
    <w:p w14:paraId="787A3AA9" w14:textId="2FD97C15" w:rsidR="00E40212" w:rsidRPr="00B75B6D" w:rsidRDefault="00E40212" w:rsidP="003B5408">
      <w:pPr>
        <w:pStyle w:val="Nagwek1"/>
        <w:numPr>
          <w:ilvl w:val="0"/>
          <w:numId w:val="14"/>
        </w:numPr>
      </w:pPr>
      <w:bookmarkStart w:id="10" w:name="_Toc103158314"/>
      <w:r w:rsidRPr="00B75B6D">
        <w:lastRenderedPageBreak/>
        <w:t>Zasady realizacji programu</w:t>
      </w:r>
      <w:bookmarkEnd w:id="10"/>
    </w:p>
    <w:p w14:paraId="042969A6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Realizatorzy programu powinni zadbać o transparentne zasady, które mają wpływ na efektywną realizację. Można to osiągnąć poprzez: </w:t>
      </w:r>
    </w:p>
    <w:p w14:paraId="43C6A958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>skazanie miejsca realizacji programu. Uczestnicy powinni mieć czytelną informację gdzie odbywają się zajęcia, w jakich warunkach, gdzie prowadzone będą prace administracyjno-biurowe na rzecz danego programu. Jednocześnie należy pamiętać że realizacja programu dla osób doświadczających przemocy nie może być w tym samym punkcie co programy dla osób stosujących przemoc</w:t>
      </w:r>
      <w:r>
        <w:rPr>
          <w:rFonts w:eastAsiaTheme="minorHAnsi" w:cs="Arial"/>
          <w:szCs w:val="22"/>
          <w:lang w:eastAsia="en-US"/>
        </w:rPr>
        <w:t>;</w:t>
      </w:r>
    </w:p>
    <w:p w14:paraId="375B7CF8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z</w:t>
      </w:r>
      <w:r w:rsidRPr="00B8521D">
        <w:rPr>
          <w:rFonts w:eastAsiaTheme="minorHAnsi" w:cs="Arial"/>
          <w:szCs w:val="22"/>
          <w:lang w:eastAsia="en-US"/>
        </w:rPr>
        <w:t>astosowanie zróżnicowanych form zajęć w zależności od przypadku (np. grupowe, indywidualne, warsztatowe, treningowe, itp.) oraz jasne określenie czasu trwania programu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poszczególnych zajęć, tj. liczba godzin poszczególnych zajęć, czas spotkania</w:t>
      </w:r>
      <w:r>
        <w:rPr>
          <w:rFonts w:eastAsiaTheme="minorHAnsi" w:cs="Arial"/>
          <w:szCs w:val="22"/>
          <w:lang w:eastAsia="en-US"/>
        </w:rPr>
        <w:t>;</w:t>
      </w:r>
    </w:p>
    <w:p w14:paraId="4BD6146E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ostosowanie liczby uczestników do realizowanej formy zajęć</w:t>
      </w:r>
      <w:r>
        <w:rPr>
          <w:rFonts w:eastAsiaTheme="minorHAnsi" w:cs="Arial"/>
          <w:szCs w:val="22"/>
          <w:lang w:eastAsia="en-US"/>
        </w:rPr>
        <w:t>;</w:t>
      </w:r>
    </w:p>
    <w:p w14:paraId="6EDA8DBC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kreślenie norm, zasad i praw obowiązujących uczestników oraz realizatorów</w:t>
      </w:r>
      <w:r>
        <w:rPr>
          <w:rFonts w:eastAsiaTheme="minorHAnsi" w:cs="Arial"/>
          <w:szCs w:val="22"/>
          <w:lang w:eastAsia="en-US"/>
        </w:rPr>
        <w:t xml:space="preserve"> (w</w:t>
      </w:r>
      <w:r w:rsidRPr="00B8521D">
        <w:rPr>
          <w:rFonts w:eastAsiaTheme="minorHAnsi" w:cs="Arial"/>
          <w:szCs w:val="22"/>
          <w:lang w:eastAsia="en-US"/>
        </w:rPr>
        <w:t>szyscy uczestnicy powinni zapoznać się z obowiązującymi normami i zasadami</w:t>
      </w:r>
      <w:r>
        <w:rPr>
          <w:rFonts w:eastAsiaTheme="minorHAnsi" w:cs="Arial"/>
          <w:szCs w:val="22"/>
          <w:lang w:eastAsia="en-US"/>
        </w:rPr>
        <w:t>);</w:t>
      </w:r>
    </w:p>
    <w:p w14:paraId="517C53F7" w14:textId="6EAB1D08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B8521D">
        <w:rPr>
          <w:rFonts w:eastAsiaTheme="minorHAnsi" w:cs="Arial"/>
          <w:szCs w:val="22"/>
          <w:lang w:eastAsia="en-US"/>
        </w:rPr>
        <w:t>rzystosowanie i udostępnienie właściwej infrastruktury, określenie zasad korzystania</w:t>
      </w:r>
      <w:r w:rsidR="00FB5AF2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niej</w:t>
      </w:r>
      <w:r>
        <w:rPr>
          <w:rFonts w:eastAsiaTheme="minorHAnsi" w:cs="Arial"/>
          <w:szCs w:val="22"/>
          <w:lang w:eastAsia="en-US"/>
        </w:rPr>
        <w:t>;</w:t>
      </w:r>
    </w:p>
    <w:p w14:paraId="29AE0F83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u</w:t>
      </w:r>
      <w:r w:rsidRPr="00B8521D">
        <w:rPr>
          <w:rFonts w:eastAsiaTheme="minorHAnsi" w:cs="Arial"/>
          <w:szCs w:val="22"/>
          <w:lang w:eastAsia="en-US"/>
        </w:rPr>
        <w:t>stalenie norm prowadzenia i przechowywania dokumentacji, ochrony danych osobowych, tworzenia i przechowywania list obecności uczestników</w:t>
      </w:r>
      <w:r>
        <w:rPr>
          <w:rFonts w:eastAsiaTheme="minorHAnsi" w:cs="Arial"/>
          <w:szCs w:val="22"/>
          <w:lang w:eastAsia="en-US"/>
        </w:rPr>
        <w:t>;</w:t>
      </w:r>
    </w:p>
    <w:p w14:paraId="1595D3D5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u</w:t>
      </w:r>
      <w:r w:rsidRPr="00B8521D">
        <w:rPr>
          <w:rFonts w:eastAsiaTheme="minorHAnsi" w:cs="Arial"/>
          <w:szCs w:val="22"/>
          <w:lang w:eastAsia="en-US"/>
        </w:rPr>
        <w:t>stalenie zasad współpracy z innymi podmiotami (organizacjami, instytucjami) działającymi na rzecz przeciwdziałania przemocy w rodzinie i ochrony osób doświadczających przemocy w rodzinie na danym terenie.</w:t>
      </w:r>
    </w:p>
    <w:p w14:paraId="2FEC518B" w14:textId="623E8194" w:rsidR="00E40212" w:rsidRPr="00B8521D" w:rsidRDefault="00E40212" w:rsidP="00E40212">
      <w:pPr>
        <w:tabs>
          <w:tab w:val="left" w:pos="284"/>
        </w:tabs>
        <w:spacing w:before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Rekomendujemy, aby realizatorzy programu ochrony osób doznających przemocy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 rodzinie tworząc ramy programu wykorzystywali wskazówki wynikające z przeprowadzenia lokalnej diagnozy społecznej, uwzględnili założenia i rekomendacje wynikające z opracowań naukowych. Należy również uwzględnić rozmiary zjawiska, sytuację psychospołeczną osób doznających przemocy w rodzinie oraz konsekwencje, wynikające z danego stanu rzeczy. Program ochrony ofiar przemocy w rodzinie musi być adekwatny do potrzeb występujących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danej sytuacji. Okres realizacji programu powinien być właściwie dopasowany do problemów, jakie posiada osoba dotknięta przemocą w rodzinie i celów programu. Realizacja niniejszego programu powinna być opracowana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sposób kompleksowy i komplementarny</w:t>
      </w:r>
      <w:r w:rsidR="00FB5AF2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programami oddziaływań korekcyjno-edukacyjnych i terapeutycznych adresowanych do osób stosujących przemoc w rodzinie. Podmioty zaangażowane w realizację programu powinny przestrzegać zasady etyki zawodowej np. tajemnicy dotyczącej problemów klienta.</w:t>
      </w:r>
    </w:p>
    <w:p w14:paraId="1801200F" w14:textId="5F3AAF74" w:rsidR="00E40212" w:rsidRPr="00B75B6D" w:rsidRDefault="00E40212" w:rsidP="003B5408">
      <w:pPr>
        <w:pStyle w:val="Nagwek1"/>
        <w:numPr>
          <w:ilvl w:val="0"/>
          <w:numId w:val="14"/>
        </w:numPr>
      </w:pPr>
      <w:bookmarkStart w:id="11" w:name="_Toc103158315"/>
      <w:r w:rsidRPr="00B75B6D">
        <w:lastRenderedPageBreak/>
        <w:t>Zasady monitorowania i ewaluacji działań wynikających z realizacji programu</w:t>
      </w:r>
      <w:bookmarkEnd w:id="11"/>
    </w:p>
    <w:p w14:paraId="7E379BC3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Przebieg i efekty realizacji programu powinny zostać objęte działaniami monitorującymi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ewaluacyjnymi, które prowadzone są przez realizatora programu. Należy określić instytucję odpowiedzialną za jego realizację, sposób przeprowadzania monitoringu i monitorowania osiągnięcia celów (zarówno głównego, jak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celów szczegółowych), czas oraz częstotliwość przeprowadzania ewaluacji. Program powinien również podlegać ewaluacji. Należy określić podmiot odpowiedzialny za jej przeprowadzenie oraz określić czas, miejsce i sposób jej dokonania. </w:t>
      </w:r>
    </w:p>
    <w:p w14:paraId="365F9083" w14:textId="5499F92B" w:rsidR="00E40212" w:rsidRPr="00914579" w:rsidRDefault="00E40212" w:rsidP="00E40212">
      <w:pPr>
        <w:spacing w:before="120" w:after="120"/>
        <w:ind w:firstLine="708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Etapami ewaluacji są m.in. gromadzenie i analiza danych oraz sprawozdawczość. Monitorowanie realizacji Programu powinno odbywać się w oparciu</w:t>
      </w:r>
      <w:r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o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sprawozdawczość/informacje podmiotów zaangażowanych w jego realizację. Wyniki ewaluacji należy wziąć pod uwagę w pracach nad doskonaleniem i upowszechnianiem dalszych metod oddziaływań</w:t>
      </w:r>
      <w:r w:rsidR="000401E9">
        <w:rPr>
          <w:rFonts w:eastAsiaTheme="minorHAnsi" w:cs="Arial"/>
          <w:szCs w:val="22"/>
          <w:lang w:eastAsia="en-US"/>
        </w:rPr>
        <w:t>.</w:t>
      </w:r>
    </w:p>
    <w:p w14:paraId="23F06C00" w14:textId="3BD6165D" w:rsidR="0061127F" w:rsidRPr="00E40212" w:rsidRDefault="0061127F" w:rsidP="00E40212">
      <w:pPr>
        <w:spacing w:after="160" w:line="259" w:lineRule="auto"/>
        <w:rPr>
          <w:rFonts w:cs="Arial"/>
          <w:b/>
          <w:bCs/>
          <w:sz w:val="24"/>
          <w:szCs w:val="24"/>
        </w:rPr>
      </w:pPr>
    </w:p>
    <w:sectPr w:rsidR="0061127F" w:rsidRPr="00E40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E430" w14:textId="77777777" w:rsidR="00242BDB" w:rsidRDefault="00242BDB" w:rsidP="00E40212">
      <w:pPr>
        <w:spacing w:line="240" w:lineRule="auto"/>
      </w:pPr>
      <w:r>
        <w:separator/>
      </w:r>
    </w:p>
  </w:endnote>
  <w:endnote w:type="continuationSeparator" w:id="0">
    <w:p w14:paraId="5339B487" w14:textId="77777777" w:rsidR="00242BDB" w:rsidRDefault="00242BDB" w:rsidP="00E4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44027"/>
      <w:docPartObj>
        <w:docPartGallery w:val="Page Numbers (Bottom of Page)"/>
        <w:docPartUnique/>
      </w:docPartObj>
    </w:sdtPr>
    <w:sdtEndPr/>
    <w:sdtContent>
      <w:p w14:paraId="7AFAE9B3" w14:textId="02B61A93" w:rsidR="007E2C84" w:rsidRDefault="007E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46E6D" w14:textId="77777777" w:rsidR="007E2C84" w:rsidRDefault="007E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D3F8" w14:textId="77777777" w:rsidR="00242BDB" w:rsidRDefault="00242BDB" w:rsidP="00E40212">
      <w:pPr>
        <w:spacing w:line="240" w:lineRule="auto"/>
      </w:pPr>
      <w:r>
        <w:separator/>
      </w:r>
    </w:p>
  </w:footnote>
  <w:footnote w:type="continuationSeparator" w:id="0">
    <w:p w14:paraId="771DD13D" w14:textId="77777777" w:rsidR="00242BDB" w:rsidRDefault="00242BDB" w:rsidP="00E40212">
      <w:pPr>
        <w:spacing w:line="240" w:lineRule="auto"/>
      </w:pPr>
      <w:r>
        <w:continuationSeparator/>
      </w:r>
    </w:p>
  </w:footnote>
  <w:footnote w:id="1">
    <w:p w14:paraId="72903A27" w14:textId="77777777" w:rsidR="00E40212" w:rsidRPr="001738B0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1738B0">
        <w:rPr>
          <w:rStyle w:val="Odwoanieprzypisudolnego"/>
          <w:rFonts w:cs="Arial"/>
          <w:sz w:val="16"/>
          <w:szCs w:val="16"/>
        </w:rPr>
        <w:footnoteRef/>
      </w:r>
      <w:r w:rsidRPr="001738B0">
        <w:rPr>
          <w:rFonts w:cs="Arial"/>
          <w:sz w:val="16"/>
          <w:szCs w:val="16"/>
        </w:rPr>
        <w:t xml:space="preserve"> </w:t>
      </w:r>
      <w:bookmarkStart w:id="3" w:name="_Hlk89157508"/>
      <w:proofErr w:type="spellStart"/>
      <w:r w:rsidRPr="001738B0">
        <w:rPr>
          <w:rFonts w:cs="Arial"/>
          <w:sz w:val="16"/>
          <w:szCs w:val="16"/>
          <w:lang w:val="pl-PL"/>
        </w:rPr>
        <w:t>Spurek</w:t>
      </w:r>
      <w:proofErr w:type="spellEnd"/>
      <w:r w:rsidRPr="001738B0">
        <w:rPr>
          <w:rFonts w:cs="Arial"/>
          <w:sz w:val="16"/>
          <w:szCs w:val="16"/>
          <w:lang w:val="pl-PL"/>
        </w:rPr>
        <w:t xml:space="preserve"> S. </w:t>
      </w:r>
      <w:r w:rsidRPr="001738B0">
        <w:rPr>
          <w:rFonts w:cs="Arial"/>
          <w:i/>
          <w:iCs/>
          <w:sz w:val="16"/>
          <w:szCs w:val="16"/>
          <w:lang w:val="pl-PL"/>
        </w:rPr>
        <w:t xml:space="preserve">Izolacja sprawcy od ofiary. </w:t>
      </w:r>
      <w:bookmarkEnd w:id="3"/>
      <w:r w:rsidRPr="001738B0">
        <w:rPr>
          <w:rFonts w:cs="Arial"/>
          <w:i/>
          <w:iCs/>
          <w:sz w:val="16"/>
          <w:szCs w:val="16"/>
          <w:lang w:val="pl-PL"/>
        </w:rPr>
        <w:t>Instrumenty przeciw przemocy w rodzinie</w:t>
      </w:r>
      <w:r w:rsidRPr="001738B0">
        <w:rPr>
          <w:rFonts w:cs="Arial"/>
          <w:sz w:val="16"/>
          <w:szCs w:val="16"/>
          <w:lang w:val="pl-PL"/>
        </w:rPr>
        <w:t>, Wolters Kluwer Polska, Warszawa 2013</w:t>
      </w:r>
      <w:r>
        <w:rPr>
          <w:rFonts w:cs="Arial"/>
          <w:sz w:val="16"/>
          <w:szCs w:val="16"/>
          <w:lang w:val="pl-PL"/>
        </w:rPr>
        <w:t>.</w:t>
      </w:r>
    </w:p>
  </w:footnote>
  <w:footnote w:id="2">
    <w:p w14:paraId="2213E2BB" w14:textId="77777777" w:rsidR="00E40212" w:rsidRPr="00F07AD2" w:rsidRDefault="00E40212" w:rsidP="00E402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738B0">
        <w:rPr>
          <w:rFonts w:cs="Arial"/>
          <w:sz w:val="16"/>
          <w:szCs w:val="16"/>
          <w:lang w:val="pl-PL"/>
        </w:rPr>
        <w:t xml:space="preserve">Mellibruda J. </w:t>
      </w:r>
      <w:r w:rsidRPr="001738B0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1738B0">
        <w:rPr>
          <w:rFonts w:cs="Arial"/>
          <w:sz w:val="16"/>
          <w:szCs w:val="16"/>
          <w:lang w:val="pl-PL"/>
        </w:rPr>
        <w:t>, Instytut Psychologii Zdrowia PTP, Warszawa 2009</w:t>
      </w:r>
      <w:r>
        <w:rPr>
          <w:rFonts w:cs="Arial"/>
          <w:sz w:val="16"/>
          <w:szCs w:val="16"/>
          <w:lang w:val="pl-PL"/>
        </w:rPr>
        <w:t>.</w:t>
      </w:r>
    </w:p>
  </w:footnote>
  <w:footnote w:id="3">
    <w:p w14:paraId="6FEDDD72" w14:textId="77777777" w:rsidR="00E40212" w:rsidRPr="001738B0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1738B0">
        <w:rPr>
          <w:rStyle w:val="Odwoanieprzypisudolnego"/>
          <w:rFonts w:cs="Arial"/>
          <w:sz w:val="16"/>
          <w:szCs w:val="16"/>
        </w:rPr>
        <w:footnoteRef/>
      </w:r>
      <w:r w:rsidRPr="001738B0">
        <w:rPr>
          <w:rFonts w:cs="Arial"/>
          <w:sz w:val="16"/>
          <w:szCs w:val="16"/>
        </w:rPr>
        <w:t xml:space="preserve"> </w:t>
      </w:r>
      <w:bookmarkStart w:id="4" w:name="_Hlk89157358"/>
      <w:r w:rsidRPr="001738B0">
        <w:rPr>
          <w:rFonts w:cs="Arial"/>
          <w:sz w:val="16"/>
          <w:szCs w:val="16"/>
          <w:lang w:val="pl-PL"/>
        </w:rPr>
        <w:t xml:space="preserve">Mellibruda J. </w:t>
      </w:r>
      <w:r w:rsidRPr="001738B0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1738B0">
        <w:rPr>
          <w:rFonts w:cs="Arial"/>
          <w:sz w:val="16"/>
          <w:szCs w:val="16"/>
          <w:lang w:val="pl-PL"/>
        </w:rPr>
        <w:t>…</w:t>
      </w:r>
      <w:bookmarkEnd w:id="4"/>
    </w:p>
  </w:footnote>
  <w:footnote w:id="4">
    <w:p w14:paraId="1355637D" w14:textId="77777777" w:rsidR="00E40212" w:rsidRPr="007E1732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7E1732">
        <w:rPr>
          <w:rStyle w:val="Odwoanieprzypisudolnego"/>
          <w:rFonts w:cs="Arial"/>
          <w:sz w:val="16"/>
          <w:szCs w:val="16"/>
        </w:rPr>
        <w:footnoteRef/>
      </w:r>
      <w:r w:rsidRPr="007E1732">
        <w:rPr>
          <w:rFonts w:cs="Arial"/>
          <w:sz w:val="16"/>
          <w:szCs w:val="16"/>
        </w:rPr>
        <w:t xml:space="preserve"> </w:t>
      </w:r>
      <w:r w:rsidRPr="007E1732">
        <w:rPr>
          <w:rFonts w:cs="Arial"/>
          <w:sz w:val="16"/>
          <w:szCs w:val="16"/>
          <w:lang w:val="pl-PL"/>
        </w:rPr>
        <w:t xml:space="preserve">Mellibruda J. </w:t>
      </w:r>
      <w:r w:rsidRPr="007E1732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7E1732">
        <w:rPr>
          <w:rFonts w:cs="Arial"/>
          <w:sz w:val="16"/>
          <w:szCs w:val="16"/>
          <w:lang w:val="pl-PL"/>
        </w:rPr>
        <w:t>…</w:t>
      </w:r>
    </w:p>
  </w:footnote>
  <w:footnote w:id="5">
    <w:p w14:paraId="4DD67CAA" w14:textId="77777777" w:rsidR="00E40212" w:rsidRPr="007E1732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7E1732">
        <w:rPr>
          <w:rStyle w:val="Odwoanieprzypisudolnego"/>
          <w:rFonts w:cs="Arial"/>
          <w:sz w:val="16"/>
          <w:szCs w:val="16"/>
        </w:rPr>
        <w:footnoteRef/>
      </w:r>
      <w:r w:rsidRPr="007E173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lang w:val="pl-PL"/>
        </w:rPr>
        <w:t>Tamże.</w:t>
      </w:r>
    </w:p>
  </w:footnote>
  <w:footnote w:id="6">
    <w:p w14:paraId="38795FD3" w14:textId="77777777" w:rsidR="00E40212" w:rsidRPr="007E1732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7E1732">
        <w:rPr>
          <w:rStyle w:val="Odwoanieprzypisudolnego"/>
          <w:rFonts w:cs="Arial"/>
          <w:sz w:val="16"/>
          <w:szCs w:val="16"/>
        </w:rPr>
        <w:footnoteRef/>
      </w:r>
      <w:r w:rsidRPr="007E1732">
        <w:rPr>
          <w:rFonts w:cs="Arial"/>
          <w:sz w:val="16"/>
          <w:szCs w:val="16"/>
        </w:rPr>
        <w:t xml:space="preserve"> </w:t>
      </w:r>
      <w:r w:rsidRPr="007E1732">
        <w:rPr>
          <w:rFonts w:cs="Arial"/>
          <w:sz w:val="16"/>
          <w:szCs w:val="16"/>
          <w:lang w:val="pl-PL"/>
        </w:rPr>
        <w:t xml:space="preserve">Mellibruda J. </w:t>
      </w:r>
      <w:r w:rsidRPr="007E1732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7E1732">
        <w:rPr>
          <w:rFonts w:cs="Arial"/>
          <w:sz w:val="16"/>
          <w:szCs w:val="16"/>
          <w:lang w:val="pl-PL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611B" w14:textId="19AA8010" w:rsidR="00F85C66" w:rsidRDefault="00F85C66" w:rsidP="009D0B40">
    <w:pPr>
      <w:tabs>
        <w:tab w:val="center" w:pos="4536"/>
        <w:tab w:val="left" w:pos="5954"/>
        <w:tab w:val="right" w:pos="9072"/>
      </w:tabs>
      <w:spacing w:before="480" w:line="240" w:lineRule="auto"/>
      <w:ind w:left="5954"/>
      <w:rPr>
        <w:rFonts w:cs="Arial"/>
        <w:sz w:val="18"/>
        <w:szCs w:val="18"/>
      </w:rPr>
    </w:pPr>
    <w:bookmarkStart w:id="12" w:name="_Hlk88637632"/>
    <w:r>
      <w:rPr>
        <w:rFonts w:cs="Arial"/>
        <w:sz w:val="18"/>
        <w:szCs w:val="18"/>
      </w:rPr>
      <w:t xml:space="preserve">Załącznik </w:t>
    </w:r>
    <w:bookmarkEnd w:id="12"/>
    <w:r>
      <w:rPr>
        <w:rFonts w:cs="Arial"/>
        <w:sz w:val="18"/>
        <w:szCs w:val="18"/>
      </w:rPr>
      <w:t>Nr 2 do Wojewódzkiego Programu Przeciwdziałania Przemocy w Rodzinie na lata 2022-2025</w:t>
    </w:r>
  </w:p>
  <w:p w14:paraId="6A8CDD20" w14:textId="77777777" w:rsidR="00EC6395" w:rsidRDefault="00EC6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393"/>
    <w:multiLevelType w:val="hybridMultilevel"/>
    <w:tmpl w:val="CD54C2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7940FB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363D66"/>
    <w:multiLevelType w:val="hybridMultilevel"/>
    <w:tmpl w:val="5B20637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0E2"/>
    <w:multiLevelType w:val="hybridMultilevel"/>
    <w:tmpl w:val="A22AC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0B8"/>
    <w:multiLevelType w:val="hybridMultilevel"/>
    <w:tmpl w:val="78B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A34"/>
    <w:multiLevelType w:val="hybridMultilevel"/>
    <w:tmpl w:val="B14C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C58"/>
    <w:multiLevelType w:val="hybridMultilevel"/>
    <w:tmpl w:val="6DE6AA88"/>
    <w:lvl w:ilvl="0" w:tplc="FEBE6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C7940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7697"/>
    <w:multiLevelType w:val="hybridMultilevel"/>
    <w:tmpl w:val="2144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E86"/>
    <w:multiLevelType w:val="hybridMultilevel"/>
    <w:tmpl w:val="7D48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35E1"/>
    <w:multiLevelType w:val="hybridMultilevel"/>
    <w:tmpl w:val="59CEB21A"/>
    <w:lvl w:ilvl="0" w:tplc="1A3230C4">
      <w:start w:val="1"/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7940FBA">
      <w:start w:val="1"/>
      <w:numFmt w:val="lowerLetter"/>
      <w:lvlText w:val="%3)"/>
      <w:lvlJc w:val="left"/>
      <w:pPr>
        <w:ind w:left="24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470595"/>
    <w:multiLevelType w:val="hybridMultilevel"/>
    <w:tmpl w:val="8D62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4A08"/>
    <w:multiLevelType w:val="hybridMultilevel"/>
    <w:tmpl w:val="9EEC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09AA"/>
    <w:multiLevelType w:val="hybridMultilevel"/>
    <w:tmpl w:val="F022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3365"/>
    <w:multiLevelType w:val="hybridMultilevel"/>
    <w:tmpl w:val="AB52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D3D73"/>
    <w:multiLevelType w:val="hybridMultilevel"/>
    <w:tmpl w:val="6186A574"/>
    <w:lvl w:ilvl="0" w:tplc="FEBE6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037C2"/>
    <w:multiLevelType w:val="hybridMultilevel"/>
    <w:tmpl w:val="7C2C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22926">
    <w:abstractNumId w:val="7"/>
  </w:num>
  <w:num w:numId="2" w16cid:durableId="1144732771">
    <w:abstractNumId w:val="13"/>
  </w:num>
  <w:num w:numId="3" w16cid:durableId="1948079380">
    <w:abstractNumId w:val="5"/>
  </w:num>
  <w:num w:numId="4" w16cid:durableId="521430863">
    <w:abstractNumId w:val="10"/>
  </w:num>
  <w:num w:numId="5" w16cid:durableId="487281563">
    <w:abstractNumId w:val="4"/>
  </w:num>
  <w:num w:numId="6" w16cid:durableId="438187934">
    <w:abstractNumId w:val="14"/>
  </w:num>
  <w:num w:numId="7" w16cid:durableId="1463572514">
    <w:abstractNumId w:val="9"/>
  </w:num>
  <w:num w:numId="8" w16cid:durableId="1412923091">
    <w:abstractNumId w:val="12"/>
  </w:num>
  <w:num w:numId="9" w16cid:durableId="1213425748">
    <w:abstractNumId w:val="2"/>
  </w:num>
  <w:num w:numId="10" w16cid:durableId="531767847">
    <w:abstractNumId w:val="6"/>
  </w:num>
  <w:num w:numId="11" w16cid:durableId="1934580816">
    <w:abstractNumId w:val="8"/>
  </w:num>
  <w:num w:numId="12" w16cid:durableId="1006908849">
    <w:abstractNumId w:val="3"/>
  </w:num>
  <w:num w:numId="13" w16cid:durableId="2133278234">
    <w:abstractNumId w:val="0"/>
  </w:num>
  <w:num w:numId="14" w16cid:durableId="1848052394">
    <w:abstractNumId w:val="11"/>
  </w:num>
  <w:num w:numId="15" w16cid:durableId="135727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12"/>
    <w:rsid w:val="000401E9"/>
    <w:rsid w:val="00041C0C"/>
    <w:rsid w:val="00047852"/>
    <w:rsid w:val="000C37AB"/>
    <w:rsid w:val="000F02EF"/>
    <w:rsid w:val="00242BDB"/>
    <w:rsid w:val="003000D9"/>
    <w:rsid w:val="0034074B"/>
    <w:rsid w:val="003B5408"/>
    <w:rsid w:val="003D3119"/>
    <w:rsid w:val="004A7D65"/>
    <w:rsid w:val="0055728E"/>
    <w:rsid w:val="005D2F22"/>
    <w:rsid w:val="0061127F"/>
    <w:rsid w:val="006246A6"/>
    <w:rsid w:val="00765A25"/>
    <w:rsid w:val="00767FEE"/>
    <w:rsid w:val="007B7142"/>
    <w:rsid w:val="007E2C84"/>
    <w:rsid w:val="00811614"/>
    <w:rsid w:val="0088002E"/>
    <w:rsid w:val="009772E2"/>
    <w:rsid w:val="009D0B40"/>
    <w:rsid w:val="00A30EAD"/>
    <w:rsid w:val="00B34FB7"/>
    <w:rsid w:val="00B47514"/>
    <w:rsid w:val="00B75B6D"/>
    <w:rsid w:val="00B83769"/>
    <w:rsid w:val="00C63F8F"/>
    <w:rsid w:val="00CD4876"/>
    <w:rsid w:val="00D24EDA"/>
    <w:rsid w:val="00E40212"/>
    <w:rsid w:val="00EB5F64"/>
    <w:rsid w:val="00EC6395"/>
    <w:rsid w:val="00EE16EC"/>
    <w:rsid w:val="00F53181"/>
    <w:rsid w:val="00F85C66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696E"/>
  <w15:chartTrackingRefBased/>
  <w15:docId w15:val="{2365B18E-C4B7-481E-AAF5-FC8DB90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12"/>
    <w:pPr>
      <w:spacing w:after="0" w:line="360" w:lineRule="auto"/>
      <w:jc w:val="both"/>
    </w:pPr>
    <w:rPr>
      <w:rFonts w:ascii="Arial" w:eastAsia="Times New Roman" w:hAnsi="Arial" w:cs="Calibri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876"/>
    <w:pPr>
      <w:keepNext/>
      <w:keepLines/>
      <w:spacing w:before="12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40212"/>
    <w:pPr>
      <w:spacing w:line="240" w:lineRule="auto"/>
    </w:pPr>
    <w:rPr>
      <w:rFonts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212"/>
    <w:rPr>
      <w:rFonts w:ascii="Arial" w:eastAsia="Times New Roman" w:hAnsi="Arial" w:cs="Times New Roman"/>
      <w:szCs w:val="20"/>
      <w:lang w:val="x-none" w:eastAsia="x-none"/>
    </w:rPr>
  </w:style>
  <w:style w:type="character" w:styleId="Odwoanieprzypisudolnego">
    <w:name w:val="footnote reference"/>
    <w:uiPriority w:val="99"/>
    <w:rsid w:val="00E40212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E4021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E40212"/>
    <w:rPr>
      <w:rFonts w:ascii="Arial" w:eastAsia="Times New Roman" w:hAnsi="Arial" w:cs="Calibri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3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95"/>
    <w:rPr>
      <w:rFonts w:ascii="Arial" w:eastAsia="Times New Roman" w:hAnsi="Arial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3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95"/>
    <w:rPr>
      <w:rFonts w:ascii="Arial" w:eastAsia="Times New Roman" w:hAnsi="Arial" w:cs="Calibri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4876"/>
    <w:rPr>
      <w:rFonts w:ascii="Arial" w:eastAsiaTheme="majorEastAsia" w:hAnsi="Arial" w:cstheme="majorBidi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2EF"/>
    <w:pPr>
      <w:spacing w:before="24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F02E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F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70B2-F0A3-45E7-9266-E0FB9E2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3308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Wojewódzkiego Programu Przeciwdziałania Przemocy w Rodzinie na lata 2022-2025</dc:title>
  <dc:subject/>
  <dc:creator>Diana Biront</dc:creator>
  <cp:keywords/>
  <dc:description/>
  <cp:lastModifiedBy>Diana Biront</cp:lastModifiedBy>
  <cp:revision>32</cp:revision>
  <dcterms:created xsi:type="dcterms:W3CDTF">2022-05-11T07:40:00Z</dcterms:created>
  <dcterms:modified xsi:type="dcterms:W3CDTF">2022-05-11T11:13:00Z</dcterms:modified>
</cp:coreProperties>
</file>