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EA9D7" w14:textId="77777777" w:rsidR="00976DC5" w:rsidRDefault="00976DC5" w:rsidP="00976DC5">
      <w:pPr>
        <w:jc w:val="right"/>
        <w:rPr>
          <w:sz w:val="22"/>
        </w:rPr>
      </w:pPr>
      <w:r>
        <w:t>Lublin, dnia 03 grudnia 2020 r.</w:t>
      </w:r>
    </w:p>
    <w:p w14:paraId="0C0686C2" w14:textId="77777777" w:rsidR="00976DC5" w:rsidRDefault="00976DC5" w:rsidP="00976DC5">
      <w:pPr>
        <w:jc w:val="center"/>
        <w:rPr>
          <w:b/>
          <w:bCs/>
        </w:rPr>
      </w:pPr>
    </w:p>
    <w:p w14:paraId="716C7872" w14:textId="77777777" w:rsidR="00976DC5" w:rsidRDefault="00976DC5" w:rsidP="00976DC5">
      <w:pPr>
        <w:jc w:val="center"/>
        <w:rPr>
          <w:b/>
          <w:bCs/>
        </w:rPr>
      </w:pPr>
      <w:r>
        <w:rPr>
          <w:b/>
          <w:bCs/>
        </w:rPr>
        <w:t>WYJAŚNIENIA TREŚCI ZAPYTANIA OFERTOWEGO</w:t>
      </w:r>
    </w:p>
    <w:p w14:paraId="6955A18D" w14:textId="77777777" w:rsidR="00976DC5" w:rsidRDefault="00976DC5" w:rsidP="00976DC5">
      <w:pPr>
        <w:jc w:val="both"/>
        <w:rPr>
          <w:b/>
          <w:bCs/>
        </w:rPr>
      </w:pPr>
      <w:r>
        <w:rPr>
          <w:b/>
          <w:bCs/>
        </w:rPr>
        <w:t>Dotyczy: postępowania pn. dostawa testów antygenowych wykrywających antygeny SARS-CoV-2 w materiale z dróg oddechowych w projekcie partnerskim pn. „Liderzy Kooperacji”</w:t>
      </w:r>
    </w:p>
    <w:p w14:paraId="15238D0B" w14:textId="77777777" w:rsidR="00976DC5" w:rsidRDefault="00976DC5" w:rsidP="00976DC5">
      <w:pPr>
        <w:jc w:val="center"/>
      </w:pPr>
    </w:p>
    <w:p w14:paraId="0FE6AB47" w14:textId="77777777" w:rsidR="00976DC5" w:rsidRDefault="00976DC5" w:rsidP="00976DC5">
      <w:pPr>
        <w:jc w:val="both"/>
      </w:pPr>
      <w:r>
        <w:t>Zamawiający informuje, że wpłynęły do niego pytania o wyjaśnienie treści zapytania ofertowego z dnia 27 listopada 2020 r. ogłoszonego w Bazie Konkurencyjności pod numerem 2020-4499-1963, na które udziela następujących odpowiedzi:</w:t>
      </w:r>
    </w:p>
    <w:p w14:paraId="1F4572D3" w14:textId="77777777" w:rsidR="00976DC5" w:rsidRDefault="00976DC5" w:rsidP="00976DC5">
      <w:pPr>
        <w:rPr>
          <w:u w:val="single"/>
        </w:rPr>
      </w:pPr>
    </w:p>
    <w:p w14:paraId="4652CCB0" w14:textId="77777777" w:rsidR="00976DC5" w:rsidRDefault="00976DC5" w:rsidP="00976DC5">
      <w:pPr>
        <w:rPr>
          <w:u w:val="single"/>
        </w:rPr>
      </w:pPr>
      <w:r>
        <w:rPr>
          <w:u w:val="single"/>
        </w:rPr>
        <w:t>Pytanie nr 1:</w:t>
      </w:r>
    </w:p>
    <w:p w14:paraId="71835314" w14:textId="77777777" w:rsidR="00976DC5" w:rsidRDefault="00976DC5" w:rsidP="00976DC5">
      <w:pPr>
        <w:jc w:val="both"/>
      </w:pPr>
      <w:r>
        <w:t xml:space="preserve">Prosimy o wyjaśnienie czy może być mniejsza ilość buforu w buteleczce, </w:t>
      </w:r>
      <w:r>
        <w:rPr>
          <w:b/>
          <w:bCs/>
        </w:rPr>
        <w:t>wystarczająca do wykonania testu</w:t>
      </w:r>
      <w:r>
        <w:t>?</w:t>
      </w:r>
    </w:p>
    <w:p w14:paraId="5617099F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Odpowiedź:</w:t>
      </w:r>
    </w:p>
    <w:p w14:paraId="4CD8ED35" w14:textId="77777777" w:rsidR="00976DC5" w:rsidRDefault="00976DC5" w:rsidP="00976DC5">
      <w:pPr>
        <w:jc w:val="both"/>
      </w:pPr>
      <w:r>
        <w:t xml:space="preserve">Zamawiający dopuszcza mniejszą ilość buforu w buteleczce pod warunkiem, że będzie ona wystarczająca do wykonania testu i </w:t>
      </w:r>
      <w:bookmarkStart w:id="0" w:name="_Hlk57889414"/>
      <w:r>
        <w:t>pozwoli zachować wymaganą szczegółowym opisem przedmiotu zamówienia: czułość diagnostyczną i swoistość diagnostyczną</w:t>
      </w:r>
      <w:bookmarkEnd w:id="0"/>
      <w:r>
        <w:t>.</w:t>
      </w:r>
    </w:p>
    <w:p w14:paraId="3910D8EE" w14:textId="77777777" w:rsidR="00976DC5" w:rsidRDefault="00976DC5" w:rsidP="00976DC5">
      <w:pPr>
        <w:jc w:val="both"/>
      </w:pPr>
    </w:p>
    <w:p w14:paraId="565EF1A9" w14:textId="77777777" w:rsidR="00976DC5" w:rsidRDefault="00976DC5" w:rsidP="00976DC5">
      <w:pPr>
        <w:rPr>
          <w:u w:val="single"/>
        </w:rPr>
      </w:pPr>
      <w:r>
        <w:rPr>
          <w:u w:val="single"/>
        </w:rPr>
        <w:t>Pytanie nr 2:</w:t>
      </w:r>
    </w:p>
    <w:p w14:paraId="1369BA03" w14:textId="77777777" w:rsidR="00976DC5" w:rsidRDefault="00976DC5" w:rsidP="00976DC5">
      <w:r>
        <w:t>Czy Zamawiający wymaga, aby procedura nakropienia na płytkę testową wymagała ilości 2 kropli?</w:t>
      </w:r>
    </w:p>
    <w:p w14:paraId="5A11C1DB" w14:textId="77777777" w:rsidR="00976DC5" w:rsidRDefault="00976DC5" w:rsidP="00976DC5">
      <w:pPr>
        <w:rPr>
          <w:u w:val="single"/>
        </w:rPr>
      </w:pPr>
      <w:r>
        <w:rPr>
          <w:u w:val="single"/>
        </w:rPr>
        <w:t>Odpowiedź:</w:t>
      </w:r>
    </w:p>
    <w:p w14:paraId="7646D44F" w14:textId="77777777" w:rsidR="00976DC5" w:rsidRDefault="00976DC5" w:rsidP="00976DC5">
      <w:pPr>
        <w:jc w:val="both"/>
      </w:pPr>
      <w:r>
        <w:t>Zamawiający wyjaśnia, że dopuszcza aby procedura nakropienia na płytkę testową wymagała co najmniej 2 kropli, pod warunkiem że procedura ta pozwoli zachować wymaganą szczegółowym opisem przedmiotu zamówienia: czułość diagnostyczna i swoistość diagnostyczna.</w:t>
      </w:r>
    </w:p>
    <w:p w14:paraId="164BCE2B" w14:textId="77777777" w:rsidR="00976DC5" w:rsidRDefault="00976DC5" w:rsidP="00976DC5"/>
    <w:p w14:paraId="7530F7A6" w14:textId="77777777" w:rsidR="00976DC5" w:rsidRDefault="00976DC5" w:rsidP="00976DC5">
      <w:pPr>
        <w:rPr>
          <w:u w:val="single"/>
        </w:rPr>
      </w:pPr>
      <w:r>
        <w:rPr>
          <w:u w:val="single"/>
        </w:rPr>
        <w:t>Pytanie nr 3:</w:t>
      </w:r>
    </w:p>
    <w:p w14:paraId="729985B3" w14:textId="77777777" w:rsidR="00976DC5" w:rsidRDefault="00976DC5" w:rsidP="00976DC5">
      <w:r>
        <w:t>Czy Zamawiający wymaga buforu dostarczonego osobno do każdego testu?</w:t>
      </w:r>
    </w:p>
    <w:p w14:paraId="06AB2189" w14:textId="77777777" w:rsidR="00976DC5" w:rsidRDefault="00976DC5" w:rsidP="00976DC5">
      <w:pPr>
        <w:rPr>
          <w:u w:val="single"/>
        </w:rPr>
      </w:pPr>
      <w:r>
        <w:rPr>
          <w:u w:val="single"/>
        </w:rPr>
        <w:t>Odpowiedź:</w:t>
      </w:r>
    </w:p>
    <w:p w14:paraId="6E3241D5" w14:textId="77777777" w:rsidR="00976DC5" w:rsidRDefault="00976DC5" w:rsidP="00976DC5">
      <w:r>
        <w:t>Zamawiający wyjaśnia, że dopuszcza bufor dostarczony osobno do każdego testu.</w:t>
      </w:r>
    </w:p>
    <w:p w14:paraId="19148A02" w14:textId="77777777" w:rsidR="00976DC5" w:rsidRDefault="00976DC5" w:rsidP="00976DC5">
      <w:pPr>
        <w:rPr>
          <w:u w:val="single"/>
        </w:rPr>
      </w:pPr>
    </w:p>
    <w:p w14:paraId="43FF2B7E" w14:textId="77777777" w:rsidR="00976DC5" w:rsidRDefault="00976DC5" w:rsidP="00976DC5">
      <w:pPr>
        <w:rPr>
          <w:u w:val="single"/>
        </w:rPr>
      </w:pPr>
      <w:r>
        <w:rPr>
          <w:u w:val="single"/>
        </w:rPr>
        <w:t>Pytanie nr 4:</w:t>
      </w:r>
    </w:p>
    <w:p w14:paraId="2F346687" w14:textId="77777777" w:rsidR="00976DC5" w:rsidRDefault="00976DC5" w:rsidP="00976DC5">
      <w:pPr>
        <w:jc w:val="both"/>
      </w:pPr>
      <w:r>
        <w:t>Czy Zamawiający wyrazi zgodę na zawarcie umowy w formie elektronicznej przy wykorzystaniu kwalifikowanego podpisu elektronicznego przez Wykonawcę?</w:t>
      </w:r>
    </w:p>
    <w:p w14:paraId="084E1626" w14:textId="77777777" w:rsidR="00976DC5" w:rsidRDefault="00976DC5" w:rsidP="00976DC5">
      <w:pPr>
        <w:jc w:val="both"/>
      </w:pPr>
      <w:r>
        <w:t>W obecnej sytuacji epidemii Urząd Zamówień Publicznych zachęca zamawiających do komunikowania się z wykonawcami za pomocą środków komunikacji elektronicznej. Kwalifikowany podpis elektroniczny ma skutek prawny równoważny podpisowi odręcznemu. Potwierdzenie tej zasady znajduje się w art. 78 (1) kodeksu cywilnego, który zrównuje kwalifikowany podpis elektroniczny z podpisem własnoręcznym.</w:t>
      </w:r>
    </w:p>
    <w:p w14:paraId="36B45FC2" w14:textId="77777777" w:rsidR="00976DC5" w:rsidRDefault="00976DC5" w:rsidP="00976DC5">
      <w:pPr>
        <w:rPr>
          <w:u w:val="single"/>
        </w:rPr>
      </w:pPr>
      <w:r>
        <w:rPr>
          <w:u w:val="single"/>
        </w:rPr>
        <w:t>Odpowiedź:</w:t>
      </w:r>
    </w:p>
    <w:p w14:paraId="40CA78E8" w14:textId="77777777" w:rsidR="00976DC5" w:rsidRDefault="00976DC5" w:rsidP="00976DC5">
      <w:pPr>
        <w:jc w:val="both"/>
      </w:pPr>
      <w:r>
        <w:lastRenderedPageBreak/>
        <w:t>Zamawiający wyjaśnia, że nie wyraża zgody na zawarcie umowy w formie elektronicznej przy wykorzystaniu kwalifikowanego podpisu elektronicznego. Jednocześnie Zmawiający informuję, że będzie istniała możliwość zawarcia umowy w formie korespondencyjnej.</w:t>
      </w:r>
    </w:p>
    <w:p w14:paraId="328D378C" w14:textId="77777777" w:rsidR="00976DC5" w:rsidRDefault="00976DC5" w:rsidP="00976DC5"/>
    <w:p w14:paraId="6E98B279" w14:textId="77777777" w:rsidR="00976DC5" w:rsidRDefault="00976DC5" w:rsidP="00976DC5">
      <w:pPr>
        <w:rPr>
          <w:u w:val="single"/>
        </w:rPr>
      </w:pPr>
      <w:r>
        <w:rPr>
          <w:u w:val="single"/>
        </w:rPr>
        <w:t>Pytanie nr 5:</w:t>
      </w:r>
    </w:p>
    <w:p w14:paraId="7303CA22" w14:textId="77777777" w:rsidR="00976DC5" w:rsidRDefault="00976DC5" w:rsidP="00976DC5">
      <w:pPr>
        <w:jc w:val="both"/>
      </w:pPr>
      <w:r>
        <w:t>Zwracamy się z prośbą o modyfikację zapisów umowy § 6 w taki sposób, aby wysokość naliczonej kary umownej naliczana była od wartości netto a nie brutto.</w:t>
      </w:r>
    </w:p>
    <w:p w14:paraId="736E760E" w14:textId="77777777" w:rsidR="00976DC5" w:rsidRDefault="00976DC5" w:rsidP="00976DC5">
      <w:r>
        <w:t>VAT jest należnością publicznoprawną, którą wykonawca jest zobowiązany odprowadzić do urzędu skarbowego. Ponadto sama kwota podatku VAT wliczona do ceny oferty nie ma wpływu na korzyści ekonomiczne osiągane przez Wykonawcę z tytułu wykonania zamówienia.</w:t>
      </w:r>
    </w:p>
    <w:p w14:paraId="6FB3F317" w14:textId="77777777" w:rsidR="00976DC5" w:rsidRDefault="00976DC5" w:rsidP="00976DC5">
      <w:pPr>
        <w:rPr>
          <w:u w:val="single"/>
        </w:rPr>
      </w:pPr>
      <w:r>
        <w:rPr>
          <w:u w:val="single"/>
        </w:rPr>
        <w:t>Odpowiedź:</w:t>
      </w:r>
    </w:p>
    <w:p w14:paraId="6581AADF" w14:textId="77777777" w:rsidR="00976DC5" w:rsidRDefault="00976DC5" w:rsidP="00976DC5">
      <w:r>
        <w:t xml:space="preserve">Zamawiający wyjaśnia, </w:t>
      </w:r>
      <w:bookmarkStart w:id="1" w:name="_Hlk57804346"/>
      <w:r>
        <w:t>że postanowienia wzoru umowy w § 6 pozostają bez zmian</w:t>
      </w:r>
      <w:bookmarkEnd w:id="1"/>
      <w:r>
        <w:t xml:space="preserve">. </w:t>
      </w:r>
    </w:p>
    <w:p w14:paraId="3A850E0B" w14:textId="77777777" w:rsidR="00976DC5" w:rsidRDefault="00976DC5" w:rsidP="00976DC5"/>
    <w:p w14:paraId="1D789E74" w14:textId="77777777" w:rsidR="00976DC5" w:rsidRDefault="00976DC5" w:rsidP="00976DC5">
      <w:pPr>
        <w:rPr>
          <w:u w:val="single"/>
        </w:rPr>
      </w:pPr>
      <w:r>
        <w:rPr>
          <w:u w:val="single"/>
        </w:rPr>
        <w:t>Pytanie nr 6:</w:t>
      </w:r>
    </w:p>
    <w:p w14:paraId="3763958B" w14:textId="77777777" w:rsidR="00976DC5" w:rsidRDefault="00976DC5" w:rsidP="00976DC5">
      <w:pPr>
        <w:jc w:val="both"/>
      </w:pPr>
      <w:r>
        <w:t>(§ 6 ust. 1c umowy) Czy Zamawiający wyrazi zgodę na zmniejszenie procenta naliczanej kary do max. 5% wartości netto niezrealizowanej umowy?</w:t>
      </w:r>
    </w:p>
    <w:p w14:paraId="026CC154" w14:textId="77777777" w:rsidR="00976DC5" w:rsidRDefault="00976DC5" w:rsidP="00976DC5">
      <w:pPr>
        <w:jc w:val="both"/>
      </w:pPr>
      <w:r>
        <w:t>Jeśli dostawa towaru będzie w znacznej mierze realizowana w sposób prawidłowy, a dla przykładu odstąpienie od umowy będzie dotyczyć niewielkiej partii towaru, to zastrzeżenie kary umownej naliczanej od ogólnej wartości całej umowy na dostawę będzie miała charakter rażąco zawyżony. W takiej sytuacji nie budzi wątpliwości dysproporcja między poniesioną szkodą a wysokością kary umownej. W przypadku braku zgody na powyższe prosimy o okazanie kalkulacji przyszłej hipotetycznej szkody, jaką ma ponieść zamawiający w związku z niewykonaniem lub nienależytym wykonaniem umowy – zgodnie z przepisami.</w:t>
      </w:r>
    </w:p>
    <w:p w14:paraId="2141601A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Odpowiedź:</w:t>
      </w:r>
    </w:p>
    <w:p w14:paraId="64107BD8" w14:textId="77777777" w:rsidR="00976DC5" w:rsidRDefault="00976DC5" w:rsidP="00976DC5">
      <w:pPr>
        <w:jc w:val="both"/>
      </w:pPr>
      <w:r>
        <w:t xml:space="preserve">Zamawiający wyjaśnia, że </w:t>
      </w:r>
      <w:bookmarkStart w:id="2" w:name="_Hlk57804756"/>
      <w:r>
        <w:t>postanowienia wzoru umowy w § 6 pozostają bez zmian</w:t>
      </w:r>
      <w:bookmarkEnd w:id="2"/>
    </w:p>
    <w:p w14:paraId="676BF95D" w14:textId="77777777" w:rsidR="00976DC5" w:rsidRDefault="00976DC5" w:rsidP="00976DC5">
      <w:pPr>
        <w:jc w:val="both"/>
      </w:pPr>
    </w:p>
    <w:p w14:paraId="344A5434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Pytanie nr 7:</w:t>
      </w:r>
    </w:p>
    <w:p w14:paraId="228D2C8E" w14:textId="77777777" w:rsidR="00976DC5" w:rsidRDefault="00976DC5" w:rsidP="00976DC5">
      <w:pPr>
        <w:jc w:val="both"/>
      </w:pPr>
      <w:r>
        <w:t xml:space="preserve">Czy Zamawiający wyrazi zgodę na </w:t>
      </w:r>
      <w:bookmarkStart w:id="3" w:name="_Hlk57888029"/>
      <w:r>
        <w:t>zaoferowanie testu antygenowego spełniającego wymogi Dyrektywy 98/79/EC CE IVD, zgłoszonego w Urzędzie Rejestracji Produktów Leczniczych, Wyrobów Medycznych i Produktów Biobójczych, spełniającego wymagania WHO, co do czułości i specyficzności, posiadającego niezależne publikacje naukowe (badanie niezależnej jednostki) potwierdzające deklarowaną czułość i specyficzność testów</w:t>
      </w:r>
      <w:bookmarkEnd w:id="3"/>
      <w:r>
        <w:t>?</w:t>
      </w:r>
    </w:p>
    <w:p w14:paraId="1CF2F903" w14:textId="77777777" w:rsidR="00976DC5" w:rsidRDefault="00976DC5" w:rsidP="00976DC5">
      <w:pPr>
        <w:jc w:val="both"/>
      </w:pPr>
      <w:r>
        <w:t>Wymaganie zgodności testu ze Stanowiskiem zarządu Głównego Polskiego Towarzystwa Epidemiologów i Lekarzy Chorób zakaźnych w sprawie wartości diagnostycznej testów antygenowych wykorzystywanych w rozpoznawaniu zakażeń SARS-CoV-2 jest wymaganiem niezgodnym z przepisami prawa, bowiem weryfikacja prawdziwości danych deklarowanych pod groźbą odpowiedzialności karnej przez producentów nie jest rolą Zamawiającego w przetargach publicznych i stanowi czynność utrudniającą uczciwą konkurencję. Dokumentem wystarczającym do wprowadzenia testów do obrotu i używania w krajach UE jest Deklaracja Zgodności EC oraz rekomendowana przez MZ i WHO jakość ,czułość diagnostyczna.</w:t>
      </w:r>
    </w:p>
    <w:p w14:paraId="3047AF20" w14:textId="77777777" w:rsidR="00976DC5" w:rsidRDefault="00976DC5" w:rsidP="00976DC5">
      <w:pPr>
        <w:jc w:val="both"/>
      </w:pPr>
      <w:r>
        <w:rPr>
          <w:u w:val="single"/>
        </w:rPr>
        <w:t>Odpowiedź</w:t>
      </w:r>
      <w:r>
        <w:t>:</w:t>
      </w:r>
    </w:p>
    <w:p w14:paraId="49161998" w14:textId="77777777" w:rsidR="00976DC5" w:rsidRDefault="00976DC5" w:rsidP="00976DC5">
      <w:pPr>
        <w:jc w:val="both"/>
      </w:pPr>
      <w:r>
        <w:t xml:space="preserve">Zamawiający wyjaśnia, że dopuszcza zaoferowanie testu antygenowego spełniającego wymogi Dyrektywy 98/79/EC CE IVD, zgłoszonego w Urzędzie Rejestracji Produktów Leczniczych, </w:t>
      </w:r>
      <w:r>
        <w:lastRenderedPageBreak/>
        <w:t>Wyrobów Medycznych i Produktów Biobójczych, spełniającego wymagania WHO, co do czułości i specyficzności, posiadającego niezależne publikacje naukowe (badanie niezależnej jednostki), pod warunkiem, że  pozwoli on zachować wymaganą szczegółowym opisem przedmiotu zamówienia czułość diagnostyczną i swoistość diagnostyczną.</w:t>
      </w:r>
    </w:p>
    <w:p w14:paraId="6FE0B42F" w14:textId="77777777" w:rsidR="00976DC5" w:rsidRDefault="00976DC5" w:rsidP="00976DC5">
      <w:pPr>
        <w:jc w:val="both"/>
      </w:pPr>
    </w:p>
    <w:p w14:paraId="1A6D525B" w14:textId="77777777" w:rsidR="00976DC5" w:rsidRDefault="00976DC5" w:rsidP="00976DC5">
      <w:pPr>
        <w:jc w:val="both"/>
      </w:pPr>
      <w:r>
        <w:rPr>
          <w:u w:val="single"/>
        </w:rPr>
        <w:t>Pytanie nr 8</w:t>
      </w:r>
      <w:r>
        <w:t>:</w:t>
      </w:r>
    </w:p>
    <w:p w14:paraId="6EFD3A75" w14:textId="77777777" w:rsidR="00976DC5" w:rsidRDefault="00976DC5" w:rsidP="00976DC5">
      <w:pPr>
        <w:jc w:val="both"/>
      </w:pPr>
      <w:r>
        <w:t>Prosimy o zgodę na zaoferowanie testów antygenowych wykrywających antygeny SARS-CoV-2 w materiale z dróg oddechowych, Testy które chcemy zaoferować są proste i łatwe w obsłudze, nie wymagają dodatkowego sprzętu (próbówek ekstrakcyjnych z zakrętką), w teście który chcemy zaoferować ekstrakcja zachodzi w kasetce, nie ma potrzeby używać próbówki oraz stojaka. Test zawiera 25 płytek, 2x3ml buforu co pozwala na podzielenie opakowania. Zgoda na zaoferowanie testu który posiada brak reakcji krzyżowych z wieloma innymi wirusami niż HSV 1,2. pozwoli nam na złożenie oferty z korzyścią dla Zamawiającego. Test spełnia pozostałe parametry, jest szybszy, łatwiejszy, prostszy w użyciu niż opisany w zapytaniu ofertowym.</w:t>
      </w:r>
    </w:p>
    <w:p w14:paraId="03B88CB3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Odpowiedź:</w:t>
      </w:r>
    </w:p>
    <w:p w14:paraId="59FA5B9C" w14:textId="77777777" w:rsidR="00976DC5" w:rsidRDefault="00976DC5" w:rsidP="00976DC5">
      <w:pPr>
        <w:jc w:val="both"/>
      </w:pPr>
      <w:r>
        <w:t>Zamawiający wyjaśnia, że nie dopuszcza zaoferowania ww. testów.</w:t>
      </w:r>
    </w:p>
    <w:p w14:paraId="74994C6E" w14:textId="77777777" w:rsidR="00976DC5" w:rsidRDefault="00976DC5" w:rsidP="00976DC5">
      <w:pPr>
        <w:jc w:val="both"/>
        <w:rPr>
          <w:u w:val="single"/>
        </w:rPr>
      </w:pPr>
    </w:p>
    <w:p w14:paraId="38161338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Pytanie nr 9:</w:t>
      </w:r>
    </w:p>
    <w:p w14:paraId="41EC1D8A" w14:textId="77777777" w:rsidR="00976DC5" w:rsidRDefault="00976DC5" w:rsidP="00976DC5">
      <w:pPr>
        <w:jc w:val="both"/>
      </w:pPr>
      <w:r>
        <w:t>Czy Zamawiający dopuści test o czułości 91,40% (potwierdzonej niezależnymi badaniami), spełniający rekomendacje/dopuszczenia: WHO, Ministerstwa Zdrowia, NFZ, Agencji Oceny Technologii Medycznych i Taryfikacji, oraz zgodne ze Stanowiskiem Zarządu Głównego Polskiego Towarzystwa Epidemiologów i Lekarzy Chorób Zakaźnych.</w:t>
      </w:r>
    </w:p>
    <w:p w14:paraId="1A361AF1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Odpowiedź:</w:t>
      </w:r>
    </w:p>
    <w:p w14:paraId="28B440EE" w14:textId="77777777" w:rsidR="00976DC5" w:rsidRDefault="00976DC5" w:rsidP="00976DC5">
      <w:pPr>
        <w:jc w:val="both"/>
      </w:pPr>
      <w:r>
        <w:t>Zamawiający wyjaśnia, że zgodnie ze szczegółowym opisem przedmiotu zamówienia dopuszcza test o czułości diagnostycznej ≥ 92% i swoistości diagnostycznej ≥ 99%.</w:t>
      </w:r>
    </w:p>
    <w:p w14:paraId="262BB8D6" w14:textId="77777777" w:rsidR="00976DC5" w:rsidRDefault="00976DC5" w:rsidP="00976DC5">
      <w:pPr>
        <w:jc w:val="both"/>
        <w:rPr>
          <w:u w:val="single"/>
        </w:rPr>
      </w:pPr>
    </w:p>
    <w:p w14:paraId="765EC36E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Pytanie nr 10:</w:t>
      </w:r>
    </w:p>
    <w:p w14:paraId="2C7C3D10" w14:textId="77777777" w:rsidR="00976DC5" w:rsidRDefault="00976DC5" w:rsidP="00976DC5">
      <w:pPr>
        <w:jc w:val="both"/>
      </w:pPr>
      <w:r>
        <w:t>Czy w związku z wymogiem „…</w:t>
      </w:r>
      <w:r>
        <w:rPr>
          <w:i/>
          <w:iCs/>
        </w:rPr>
        <w:t>Test do stosowania w Domach Pomocy Społecznej (w środowisku laboratoryjnym i poza-laboratoryjnym)…</w:t>
      </w:r>
      <w:r>
        <w:t xml:space="preserve">” Zamawiający wymaga, aby </w:t>
      </w:r>
      <w:bookmarkStart w:id="4" w:name="_Hlk57888237"/>
      <w:proofErr w:type="spellStart"/>
      <w:r>
        <w:t>wymazówka</w:t>
      </w:r>
      <w:proofErr w:type="spellEnd"/>
      <w:r>
        <w:t xml:space="preserve"> po ekstrakcji pozostawała w zamkniętej probówce ekstrakcyjnej</w:t>
      </w:r>
      <w:bookmarkEnd w:id="4"/>
      <w:r>
        <w:t xml:space="preserve">? Wyjmowanie </w:t>
      </w:r>
      <w:proofErr w:type="spellStart"/>
      <w:r>
        <w:t>wymazówki</w:t>
      </w:r>
      <w:proofErr w:type="spellEnd"/>
      <w:r>
        <w:t xml:space="preserve"> z probówki ekstrakcyjnej generuje efekt aerozolowy rozpylający zakaźną próbkę, tym samym oznacza konieczność stosowania komór laminarnych/dygestoriów.</w:t>
      </w:r>
    </w:p>
    <w:p w14:paraId="353F4A15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Odpowiedź:</w:t>
      </w:r>
    </w:p>
    <w:p w14:paraId="5809D51B" w14:textId="77777777" w:rsidR="00976DC5" w:rsidRDefault="00976DC5" w:rsidP="00976DC5">
      <w:pPr>
        <w:jc w:val="both"/>
      </w:pPr>
      <w:r>
        <w:t xml:space="preserve">Zamawiający wyjaśnia, że dopuszcza </w:t>
      </w:r>
      <w:proofErr w:type="spellStart"/>
      <w:r>
        <w:t>wymazówka</w:t>
      </w:r>
      <w:proofErr w:type="spellEnd"/>
      <w:r>
        <w:t xml:space="preserve"> po ekstrakcji pozostawała w zamkniętej probówce ekstrakcyjnej.</w:t>
      </w:r>
    </w:p>
    <w:p w14:paraId="0C413F9C" w14:textId="77777777" w:rsidR="00976DC5" w:rsidRDefault="00976DC5" w:rsidP="00976DC5">
      <w:pPr>
        <w:jc w:val="both"/>
      </w:pPr>
    </w:p>
    <w:p w14:paraId="3E31EC22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Pytanie nr 11:</w:t>
      </w:r>
    </w:p>
    <w:p w14:paraId="1C3CB17D" w14:textId="77777777" w:rsidR="00976DC5" w:rsidRDefault="00976DC5" w:rsidP="00976DC5">
      <w:pPr>
        <w:jc w:val="both"/>
      </w:pPr>
      <w:r>
        <w:t>Czy w celu potwierdzenia zgodności zaoferowanego asortymentu z wymogami, Zamawiający wymaga przedłożenia wraz z ofertą najnowszych metodyk wykona test w języku polskim i angielskim? Szereg firm posługuje się nieaktualnymi metodykami, pomimo ich zmiany przez producenta.</w:t>
      </w:r>
    </w:p>
    <w:p w14:paraId="5F71D9C8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Odpowiedź:</w:t>
      </w:r>
    </w:p>
    <w:p w14:paraId="2DBCB189" w14:textId="77777777" w:rsidR="00976DC5" w:rsidRDefault="00976DC5" w:rsidP="00976DC5">
      <w:pPr>
        <w:jc w:val="both"/>
      </w:pPr>
      <w:r>
        <w:lastRenderedPageBreak/>
        <w:t>Zamawiający wyjaśnia, że metodykę wykonania testu w języku polskim wykonawca, którego oferta zostanie uznana za najkorzystniejszą, zobowiązany będzie dostarczyć po podpisaniu umowy razem z testami.</w:t>
      </w:r>
    </w:p>
    <w:p w14:paraId="3AF3B37B" w14:textId="77777777" w:rsidR="00976DC5" w:rsidRDefault="00976DC5" w:rsidP="00976DC5">
      <w:pPr>
        <w:jc w:val="both"/>
      </w:pPr>
    </w:p>
    <w:p w14:paraId="32393FF0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Pytanie nr 12:</w:t>
      </w:r>
    </w:p>
    <w:p w14:paraId="5956B440" w14:textId="77777777" w:rsidR="00976DC5" w:rsidRDefault="00976DC5" w:rsidP="00976DC5">
      <w:pPr>
        <w:jc w:val="both"/>
      </w:pPr>
      <w:r>
        <w:t>Czy w § 2 ust. 2 Wzoru umowy Zamawiający skróci termin płatności do 14 dni?</w:t>
      </w:r>
    </w:p>
    <w:p w14:paraId="6E4DE1D3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Odpowiedź:</w:t>
      </w:r>
    </w:p>
    <w:p w14:paraId="3CDD4F0B" w14:textId="77777777" w:rsidR="00976DC5" w:rsidRDefault="00976DC5" w:rsidP="00976DC5">
      <w:pPr>
        <w:jc w:val="both"/>
      </w:pPr>
      <w:r>
        <w:t>Zamawiający wyjaśnia, że postanowienia wzoru umowy w § 2 ust. 2 pozostają bez zmian</w:t>
      </w:r>
    </w:p>
    <w:p w14:paraId="112E2859" w14:textId="77777777" w:rsidR="00976DC5" w:rsidRDefault="00976DC5" w:rsidP="00976DC5">
      <w:pPr>
        <w:jc w:val="both"/>
      </w:pPr>
    </w:p>
    <w:p w14:paraId="32CE9F85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Pytanie nr 13:</w:t>
      </w:r>
    </w:p>
    <w:p w14:paraId="3BCA8C34" w14:textId="77777777" w:rsidR="00976DC5" w:rsidRDefault="00976DC5" w:rsidP="00976DC5">
      <w:pPr>
        <w:jc w:val="both"/>
      </w:pPr>
      <w:r>
        <w:t>Czy w związku z panującą sytuacją epidemiologiczną Zamawiający dopuści składanie ofert w postaci elektronicznej z podpisem kwalifikowanym. Jeżeli tak, to gdzie należy złożyć ofertę?</w:t>
      </w:r>
    </w:p>
    <w:p w14:paraId="64718D64" w14:textId="77777777" w:rsidR="00976DC5" w:rsidRDefault="00976DC5" w:rsidP="00976DC5">
      <w:pPr>
        <w:jc w:val="both"/>
        <w:rPr>
          <w:u w:val="single"/>
        </w:rPr>
      </w:pPr>
      <w:r>
        <w:rPr>
          <w:u w:val="single"/>
        </w:rPr>
        <w:t>Odpowiedź:</w:t>
      </w:r>
    </w:p>
    <w:p w14:paraId="70CE930B" w14:textId="77777777" w:rsidR="00976DC5" w:rsidRDefault="00976DC5" w:rsidP="00976DC5">
      <w:pPr>
        <w:jc w:val="both"/>
      </w:pPr>
      <w:r>
        <w:t>Zamawiający nie wyraża zgody na złożenie oferty w postacie elektronicznej opatrzonej podpisem kwalifikowanym.</w:t>
      </w:r>
    </w:p>
    <w:p w14:paraId="5A8474B9" w14:textId="77777777" w:rsidR="00976DC5" w:rsidRDefault="00976DC5" w:rsidP="00976DC5">
      <w:pPr>
        <w:jc w:val="both"/>
      </w:pPr>
    </w:p>
    <w:p w14:paraId="68889EC7" w14:textId="77777777" w:rsidR="00976DC5" w:rsidRDefault="00976DC5" w:rsidP="00976DC5">
      <w:pPr>
        <w:jc w:val="both"/>
      </w:pPr>
    </w:p>
    <w:p w14:paraId="220FC800" w14:textId="77777777" w:rsidR="00976DC5" w:rsidRDefault="00976DC5" w:rsidP="00976DC5">
      <w:pPr>
        <w:jc w:val="both"/>
      </w:pPr>
    </w:p>
    <w:p w14:paraId="0478C9AD" w14:textId="5C401919" w:rsidR="00976DC5" w:rsidRPr="00976DC5" w:rsidRDefault="00976DC5" w:rsidP="00976DC5">
      <w:pPr>
        <w:jc w:val="both"/>
      </w:pPr>
      <w:r>
        <w:rPr>
          <w:b/>
          <w:bCs/>
        </w:rPr>
        <w:t>Niniejsze pismo stanowi integralną część zapytania ofertowego z dnia 27 listopada 2020 r.</w:t>
      </w:r>
    </w:p>
    <w:p w14:paraId="17CF6CCF" w14:textId="77777777" w:rsidR="00A8662B" w:rsidRDefault="00A8662B" w:rsidP="00A8662B">
      <w:pPr>
        <w:jc w:val="center"/>
        <w:rPr>
          <w:b/>
          <w:bCs/>
          <w:szCs w:val="24"/>
          <w:u w:val="single"/>
        </w:rPr>
      </w:pPr>
    </w:p>
    <w:p w14:paraId="0B8DF3B4" w14:textId="77777777" w:rsidR="00A8662B" w:rsidRDefault="00A8662B" w:rsidP="00A8662B">
      <w:pPr>
        <w:jc w:val="center"/>
        <w:rPr>
          <w:b/>
          <w:bCs/>
          <w:szCs w:val="24"/>
          <w:u w:val="single"/>
        </w:rPr>
      </w:pPr>
    </w:p>
    <w:p w14:paraId="5FCB0433" w14:textId="77777777" w:rsidR="00525E68" w:rsidRPr="00A52DC9" w:rsidRDefault="00525E68" w:rsidP="00A52DC9">
      <w:pPr>
        <w:jc w:val="both"/>
        <w:rPr>
          <w:b/>
          <w:bCs/>
          <w:sz w:val="28"/>
          <w:szCs w:val="28"/>
        </w:rPr>
      </w:pPr>
    </w:p>
    <w:sectPr w:rsidR="00525E68" w:rsidRPr="00A52DC9" w:rsidSect="000A2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F6C71" w14:textId="77777777" w:rsidR="0003787B" w:rsidRDefault="0003787B" w:rsidP="007653B4">
      <w:r>
        <w:separator/>
      </w:r>
    </w:p>
  </w:endnote>
  <w:endnote w:type="continuationSeparator" w:id="0">
    <w:p w14:paraId="1EADB3DD" w14:textId="77777777" w:rsidR="0003787B" w:rsidRDefault="0003787B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F19DC" w14:textId="77777777" w:rsidR="00175588" w:rsidRDefault="001755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FD7FA" w14:textId="77777777" w:rsidR="000A24B1" w:rsidRDefault="00175588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045E42" wp14:editId="41A0C612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BA2C9" w14:textId="77777777" w:rsidR="00175588" w:rsidRDefault="00175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45714" w14:textId="77777777" w:rsidR="0003787B" w:rsidRDefault="0003787B" w:rsidP="007653B4">
      <w:r>
        <w:separator/>
      </w:r>
    </w:p>
  </w:footnote>
  <w:footnote w:type="continuationSeparator" w:id="0">
    <w:p w14:paraId="4241A01D" w14:textId="77777777" w:rsidR="0003787B" w:rsidRDefault="0003787B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A2F15" w14:textId="77777777" w:rsidR="00175588" w:rsidRDefault="001755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A2BC1" w14:textId="77777777"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C78958D" wp14:editId="590E0C8D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016BF" w14:textId="77777777" w:rsidR="00175588" w:rsidRDefault="001755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503B"/>
    <w:multiLevelType w:val="hybridMultilevel"/>
    <w:tmpl w:val="DF92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7155F"/>
    <w:multiLevelType w:val="hybridMultilevel"/>
    <w:tmpl w:val="829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066C"/>
    <w:multiLevelType w:val="hybridMultilevel"/>
    <w:tmpl w:val="848C5012"/>
    <w:lvl w:ilvl="0" w:tplc="821E2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B7E3D"/>
    <w:multiLevelType w:val="hybridMultilevel"/>
    <w:tmpl w:val="932EB096"/>
    <w:lvl w:ilvl="0" w:tplc="FCA4D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68EC"/>
    <w:multiLevelType w:val="multilevel"/>
    <w:tmpl w:val="0B5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911FC"/>
    <w:multiLevelType w:val="hybridMultilevel"/>
    <w:tmpl w:val="9588F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A39B7"/>
    <w:multiLevelType w:val="hybridMultilevel"/>
    <w:tmpl w:val="E844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C1589"/>
    <w:multiLevelType w:val="hybridMultilevel"/>
    <w:tmpl w:val="91980594"/>
    <w:lvl w:ilvl="0" w:tplc="7B501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7C77C0"/>
    <w:multiLevelType w:val="hybridMultilevel"/>
    <w:tmpl w:val="0B60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61393"/>
    <w:multiLevelType w:val="hybridMultilevel"/>
    <w:tmpl w:val="64EC076C"/>
    <w:lvl w:ilvl="0" w:tplc="A7C6B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3787B"/>
    <w:rsid w:val="000A0B64"/>
    <w:rsid w:val="000A24B1"/>
    <w:rsid w:val="000B4F36"/>
    <w:rsid w:val="000B5FDE"/>
    <w:rsid w:val="00175588"/>
    <w:rsid w:val="00180077"/>
    <w:rsid w:val="00195881"/>
    <w:rsid w:val="00204E81"/>
    <w:rsid w:val="00274F87"/>
    <w:rsid w:val="00322DB1"/>
    <w:rsid w:val="003B0A13"/>
    <w:rsid w:val="00467BFA"/>
    <w:rsid w:val="004B7CC8"/>
    <w:rsid w:val="004E6652"/>
    <w:rsid w:val="004F01A9"/>
    <w:rsid w:val="005051A1"/>
    <w:rsid w:val="00515CCF"/>
    <w:rsid w:val="00525E68"/>
    <w:rsid w:val="00683C63"/>
    <w:rsid w:val="00686AE5"/>
    <w:rsid w:val="0073317A"/>
    <w:rsid w:val="0073424D"/>
    <w:rsid w:val="007653B4"/>
    <w:rsid w:val="00765B6C"/>
    <w:rsid w:val="007C4DD3"/>
    <w:rsid w:val="00803040"/>
    <w:rsid w:val="008064B8"/>
    <w:rsid w:val="00821336"/>
    <w:rsid w:val="00860339"/>
    <w:rsid w:val="00897567"/>
    <w:rsid w:val="008A2FBE"/>
    <w:rsid w:val="008A50E5"/>
    <w:rsid w:val="00904574"/>
    <w:rsid w:val="00914B67"/>
    <w:rsid w:val="00926827"/>
    <w:rsid w:val="00976DC5"/>
    <w:rsid w:val="009A4C70"/>
    <w:rsid w:val="00A25D4B"/>
    <w:rsid w:val="00A52DC9"/>
    <w:rsid w:val="00A83F27"/>
    <w:rsid w:val="00A8662B"/>
    <w:rsid w:val="00AB0210"/>
    <w:rsid w:val="00E56172"/>
    <w:rsid w:val="00EB4502"/>
    <w:rsid w:val="00F378CD"/>
    <w:rsid w:val="00F65A63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58261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378C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uiPriority w:val="34"/>
    <w:qFormat/>
    <w:rsid w:val="009045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378C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F378CD"/>
    <w:pPr>
      <w:spacing w:line="36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8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F378CD"/>
    <w:rPr>
      <w:b/>
      <w:bCs/>
    </w:rPr>
  </w:style>
  <w:style w:type="paragraph" w:customStyle="1" w:styleId="Standard">
    <w:name w:val="Standard"/>
    <w:rsid w:val="00F378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rtejustify">
    <w:name w:val="rtejustify"/>
    <w:basedOn w:val="Normalny"/>
    <w:rsid w:val="004E6652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378E-21FF-4580-BB5D-06FABD9A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1156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Malgorzata Woloszyn</cp:lastModifiedBy>
  <cp:revision>2</cp:revision>
  <cp:lastPrinted>2019-11-06T10:38:00Z</cp:lastPrinted>
  <dcterms:created xsi:type="dcterms:W3CDTF">2020-12-03T12:03:00Z</dcterms:created>
  <dcterms:modified xsi:type="dcterms:W3CDTF">2020-12-03T12:03:00Z</dcterms:modified>
</cp:coreProperties>
</file>