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9127" w14:textId="2C9797D4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  <w:r w:rsidR="00AB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5E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B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ROPS </w:t>
      </w:r>
      <w:r w:rsidR="003C5E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LUBLINIE</w:t>
      </w:r>
    </w:p>
    <w:p w14:paraId="241A6EAB" w14:textId="77777777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Wojewódzkiego Programu Przeciwdziałania Przemocy w Rodzinie</w:t>
      </w:r>
    </w:p>
    <w:p w14:paraId="2514665F" w14:textId="092D9031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145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lata 2022-2025</w:t>
      </w:r>
    </w:p>
    <w:p w14:paraId="6CA783CE" w14:textId="52620113" w:rsidR="00AB4E6E" w:rsidRDefault="00AB4E6E" w:rsidP="00AB4E6E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1531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3969"/>
        <w:gridCol w:w="4111"/>
      </w:tblGrid>
      <w:tr w:rsidR="00AB4E6E" w:rsidRPr="00483A92" w14:paraId="319DC65E" w14:textId="77777777" w:rsidTr="00440B88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18AE" w14:textId="11B3809C" w:rsidR="00AB4E6E" w:rsidRPr="00483A92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483A92">
              <w:rPr>
                <w:rFonts w:ascii="Arial" w:eastAsia="Times New Roman" w:hAnsi="Arial" w:cs="Arial"/>
                <w:b/>
                <w:kern w:val="3"/>
                <w:lang w:eastAsia="pl-PL"/>
              </w:rPr>
              <w:t>Nazwa instytucji</w:t>
            </w:r>
          </w:p>
        </w:tc>
        <w:tc>
          <w:tcPr>
            <w:tcW w:w="12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3519" w14:textId="65DAA547" w:rsidR="00AB4E6E" w:rsidRPr="00483A92" w:rsidRDefault="00241A7B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Miejski Ośrodek Pomocy Rodzinie w Lublinie</w:t>
            </w:r>
          </w:p>
        </w:tc>
      </w:tr>
      <w:tr w:rsidR="00AB4E6E" w:rsidRPr="00483A92" w14:paraId="300529AE" w14:textId="77777777" w:rsidTr="00440B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669A" w14:textId="77777777" w:rsidR="00AB4E6E" w:rsidRPr="00483A92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eastAsia="Times New Roman" w:hAnsi="Arial" w:cs="Arial"/>
                <w:b/>
                <w:kern w:val="3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0A06" w14:textId="77777777" w:rsidR="00AB4E6E" w:rsidRPr="00483A92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eastAsia="Times New Roman" w:hAnsi="Arial" w:cs="Arial"/>
                <w:b/>
                <w:kern w:val="3"/>
                <w:lang w:eastAsia="pl-PL"/>
              </w:rPr>
              <w:t>Część dokumentu, do którego odnosi się uwaga</w:t>
            </w:r>
          </w:p>
          <w:p w14:paraId="635E4731" w14:textId="77777777" w:rsidR="00AB4E6E" w:rsidRPr="00483A92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eastAsia="Times New Roman" w:hAnsi="Arial" w:cs="Arial"/>
                <w:b/>
                <w:kern w:val="3"/>
                <w:lang w:eastAsia="pl-PL"/>
              </w:rPr>
              <w:t>(rozdział/strona/punkt)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19CA" w14:textId="77777777" w:rsidR="00AB4E6E" w:rsidRPr="00483A92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 Proponowana treść zapisu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1EF2" w14:textId="77777777" w:rsidR="00AB4E6E" w:rsidRPr="00483A92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eastAsia="Times New Roman" w:hAnsi="Arial" w:cs="Arial"/>
                <w:b/>
                <w:kern w:val="3"/>
                <w:lang w:eastAsia="pl-PL"/>
              </w:rPr>
              <w:t>Uzasadnienie proponowanego zapisu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E51B" w14:textId="77777777" w:rsidR="00AB4E6E" w:rsidRPr="00483A92" w:rsidRDefault="00AB4E6E" w:rsidP="009E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eastAsia="Times New Roman" w:hAnsi="Arial" w:cs="Arial"/>
                <w:b/>
                <w:kern w:val="3"/>
                <w:lang w:eastAsia="pl-PL"/>
              </w:rPr>
              <w:t>Stanowisko ROPS w Lublinie</w:t>
            </w:r>
          </w:p>
        </w:tc>
      </w:tr>
      <w:tr w:rsidR="00AB4E6E" w:rsidRPr="00483A92" w14:paraId="313CE324" w14:textId="77777777" w:rsidTr="00440B88">
        <w:trPr>
          <w:trHeight w:val="98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CF34" w14:textId="77777777" w:rsidR="00AB4E6E" w:rsidRPr="00483A92" w:rsidRDefault="00AB4E6E" w:rsidP="009E111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5616" w14:textId="77777777" w:rsidR="00076776" w:rsidRPr="00483A92" w:rsidRDefault="00076776" w:rsidP="00076776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Punkt 9. </w:t>
            </w:r>
            <w:r w:rsidRPr="00483A92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Analiza SWOT </w:t>
            </w:r>
            <w:r w:rsidRPr="00483A9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483A92">
              <w:rPr>
                <w:rFonts w:ascii="Arial" w:hAnsi="Arial" w:cs="Arial"/>
                <w:bCs/>
                <w:sz w:val="22"/>
                <w:szCs w:val="22"/>
                <w:lang w:val="x-none"/>
              </w:rPr>
              <w:t>i rekomendacje</w:t>
            </w:r>
          </w:p>
          <w:p w14:paraId="067B6E06" w14:textId="77777777" w:rsidR="00076776" w:rsidRPr="00483A92" w:rsidRDefault="00076776" w:rsidP="00076776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3A92">
              <w:rPr>
                <w:rFonts w:ascii="Arial" w:hAnsi="Arial" w:cs="Arial"/>
                <w:bCs/>
                <w:sz w:val="22"/>
                <w:szCs w:val="22"/>
              </w:rPr>
              <w:t>Zagrożenia</w:t>
            </w:r>
          </w:p>
          <w:p w14:paraId="759F0E49" w14:textId="4838A276" w:rsidR="00AB4E6E" w:rsidRPr="00483A92" w:rsidRDefault="00076776" w:rsidP="00076776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  <w:bCs/>
              </w:rPr>
              <w:t>str. 46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CD9C" w14:textId="77777777" w:rsidR="00E61FDC" w:rsidRPr="00483A92" w:rsidRDefault="00E61FDC" w:rsidP="00E61FDC">
            <w:pPr>
              <w:rPr>
                <w:rFonts w:ascii="Arial" w:hAnsi="Arial" w:cs="Arial"/>
              </w:rPr>
            </w:pPr>
            <w:r w:rsidRPr="00483A92">
              <w:rPr>
                <w:rFonts w:ascii="Arial" w:hAnsi="Arial" w:cs="Arial"/>
              </w:rPr>
              <w:t xml:space="preserve">- możliwe zmiany będące skutkami pandemii COVID-19 </w:t>
            </w:r>
          </w:p>
          <w:p w14:paraId="39FA95A5" w14:textId="69EFC4D1" w:rsidR="00AB4E6E" w:rsidRPr="00483A92" w:rsidRDefault="00E61FDC" w:rsidP="00E61FD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propozycja dodania również zmian będących skutkami wojny w Ukrainie i napływu uchodźców do Polski oraz niskiej dostępności do pomocy specjalistycznej dla osób obcojęzycznych dotkniętych przemocą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C078" w14:textId="029F9F1D" w:rsidR="00AB4E6E" w:rsidRPr="00483A92" w:rsidRDefault="00913436" w:rsidP="009E1115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wzrost ilości osób potrzebujących pomocy, w tym osób obcojęzycznych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3BDF" w14:textId="77777777" w:rsidR="00686B6F" w:rsidRPr="00483A92" w:rsidRDefault="00686B6F" w:rsidP="00686B6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76DDACD8" w14:textId="760AC54E" w:rsidR="00AB4E6E" w:rsidRPr="00483A92" w:rsidRDefault="00686B6F" w:rsidP="00686B6F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Niniejszy program i zawarta w nim analiza SWOT opiera się na diagnozie, która została opracowana na podstawie dostępnych danych statystycznych do roku 2021 r. Sytuacja społeczna związana z wojną na Ukrainie i napływem uchodźców do Polski rozpoczęła się w 2022 r. Aktualnie brak jest danych statystycznych ujmujących ww. kwestię</w:t>
            </w:r>
          </w:p>
        </w:tc>
      </w:tr>
      <w:tr w:rsidR="00342E78" w:rsidRPr="00483A92" w14:paraId="583AF2F8" w14:textId="77777777" w:rsidTr="00440B88">
        <w:trPr>
          <w:trHeight w:val="5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9B8C" w14:textId="77777777" w:rsidR="00342E78" w:rsidRPr="00483A92" w:rsidRDefault="00342E78" w:rsidP="00342E7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30EB" w14:textId="77777777" w:rsidR="00342E78" w:rsidRPr="00483A92" w:rsidRDefault="00342E78" w:rsidP="00342E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Punkt 9. Analiza SWOT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>i rekomendacje</w:t>
            </w:r>
          </w:p>
          <w:p w14:paraId="3B7BA314" w14:textId="77777777" w:rsidR="00342E78" w:rsidRPr="00483A92" w:rsidRDefault="00342E78" w:rsidP="00342E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Zagrożenia</w:t>
            </w:r>
          </w:p>
          <w:p w14:paraId="65543EAA" w14:textId="112C0BE9" w:rsidR="00342E78" w:rsidRPr="00483A92" w:rsidRDefault="00342E78" w:rsidP="00342E78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str. 46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7AD2" w14:textId="77777777" w:rsidR="00342E78" w:rsidRPr="00483A92" w:rsidRDefault="00342E78" w:rsidP="00342E7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- związek z innymi problemami społecznymi   występującymi w rodzinach doświadczających przemocy </w:t>
            </w:r>
          </w:p>
          <w:p w14:paraId="6BF4F47E" w14:textId="7202A5C6" w:rsidR="00342E78" w:rsidRPr="00483A92" w:rsidRDefault="00342E78" w:rsidP="00342E7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propozycja dodania chorób psychicznych, uzależnienia od hazardu oraz niepełnosprawności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31D7" w14:textId="77777777" w:rsidR="00843271" w:rsidRPr="00483A92" w:rsidRDefault="00843271" w:rsidP="0084327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problem przemocy może nasilać występowanie zaburzeń psychicznych u osób dotkniętych przemocą;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>uzależnienia od hazardu wpływają na sytuację ekonomiczną w rodzinie, która wiąże się z zagrożeniem przemocy;</w:t>
            </w:r>
          </w:p>
          <w:p w14:paraId="2F5485D4" w14:textId="210A0469" w:rsidR="00342E78" w:rsidRPr="00483A92" w:rsidRDefault="00843271" w:rsidP="0084327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 xml:space="preserve">osoby niepełnosprawne, w tym upośledzone umysłowo mogą być </w:t>
            </w:r>
            <w:r w:rsidRPr="00483A92">
              <w:rPr>
                <w:rFonts w:ascii="Arial" w:hAnsi="Arial" w:cs="Arial"/>
              </w:rPr>
              <w:lastRenderedPageBreak/>
              <w:t>bardziej narażone na doświadczanie przemocy ze strony osób zdrowych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6CCE" w14:textId="01BE31DC" w:rsidR="006455B7" w:rsidRPr="00483A92" w:rsidRDefault="006455B7" w:rsidP="006455B7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>Częściowo przyjęto.</w:t>
            </w:r>
          </w:p>
          <w:p w14:paraId="6134F280" w14:textId="77777777" w:rsidR="006455B7" w:rsidRPr="00483A92" w:rsidRDefault="006455B7" w:rsidP="006455B7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Zapis po dokonaniu korekty:</w:t>
            </w:r>
          </w:p>
          <w:p w14:paraId="61175C40" w14:textId="47480645" w:rsidR="00342E78" w:rsidRPr="00483A92" w:rsidRDefault="006455B7" w:rsidP="006455B7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eastAsia="Calibri" w:hAnsi="Arial" w:cs="Arial"/>
              </w:rPr>
              <w:t xml:space="preserve">„związek z innymi problemami społecznymi występującymi w rodzinach doświadczających przemocy (nadużywanie alkoholu przez osobę stosującą przemoc, ubóstwo, </w:t>
            </w:r>
            <w:r w:rsidRPr="00483A92">
              <w:rPr>
                <w:rFonts w:ascii="Arial" w:hAnsi="Arial" w:cs="Arial"/>
              </w:rPr>
              <w:t xml:space="preserve">choroby </w:t>
            </w:r>
            <w:r w:rsidRPr="00483A92">
              <w:rPr>
                <w:rFonts w:ascii="Arial" w:hAnsi="Arial" w:cs="Arial"/>
              </w:rPr>
              <w:lastRenderedPageBreak/>
              <w:t>psychiczne, niepełnosprawność, uzależnienia”.</w:t>
            </w:r>
          </w:p>
        </w:tc>
      </w:tr>
      <w:tr w:rsidR="000B573F" w:rsidRPr="00483A92" w14:paraId="5C7C814E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E743" w14:textId="77777777" w:rsidR="000B573F" w:rsidRPr="00483A92" w:rsidRDefault="000B573F" w:rsidP="000B573F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5728" w14:textId="77777777" w:rsidR="000B573F" w:rsidRPr="00483A92" w:rsidRDefault="000B573F" w:rsidP="000B573F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Punkt 9. </w:t>
            </w:r>
            <w:r w:rsidRPr="00483A92">
              <w:rPr>
                <w:rFonts w:ascii="Arial" w:hAnsi="Arial" w:cs="Arial"/>
                <w:bCs/>
                <w:sz w:val="22"/>
                <w:szCs w:val="22"/>
                <w:lang w:val="x-none"/>
              </w:rPr>
              <w:t>Analiza SWOT</w:t>
            </w:r>
            <w:r w:rsidRPr="00483A9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483A92">
              <w:rPr>
                <w:rFonts w:ascii="Arial" w:hAnsi="Arial" w:cs="Arial"/>
                <w:bCs/>
                <w:sz w:val="22"/>
                <w:szCs w:val="22"/>
                <w:lang w:val="x-none"/>
              </w:rPr>
              <w:t>i rekomendacje</w:t>
            </w:r>
          </w:p>
          <w:p w14:paraId="683C923D" w14:textId="77777777" w:rsidR="000B573F" w:rsidRPr="00483A92" w:rsidRDefault="000B573F" w:rsidP="000B573F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3A92">
              <w:rPr>
                <w:rFonts w:ascii="Arial" w:hAnsi="Arial" w:cs="Arial"/>
                <w:bCs/>
                <w:sz w:val="22"/>
                <w:szCs w:val="22"/>
              </w:rPr>
              <w:t>Zagrożenia</w:t>
            </w:r>
          </w:p>
          <w:p w14:paraId="31D37C98" w14:textId="76C31FF9" w:rsidR="000B573F" w:rsidRPr="00483A92" w:rsidRDefault="000B573F" w:rsidP="000B573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  <w:bCs/>
              </w:rPr>
              <w:t>str. 46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2B41" w14:textId="77777777" w:rsidR="00701984" w:rsidRPr="00483A92" w:rsidRDefault="00701984" w:rsidP="0070198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- ograniczone środki finansowe na realizację działań związanych z przeciwdziałaniem przemocy </w:t>
            </w:r>
          </w:p>
          <w:p w14:paraId="059334BB" w14:textId="7D743B18" w:rsidR="000B573F" w:rsidRPr="00483A92" w:rsidRDefault="00701984" w:rsidP="0070198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propozycja dodania braku ustawowych możliwości dodatkowego wynagrodzenia członków zespołów interdyscyplinarnych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959D" w14:textId="2094E207" w:rsidR="000B573F" w:rsidRPr="00483A92" w:rsidRDefault="00A51AC6" w:rsidP="000B573F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brak wynagrodzenia członków ZI może powodować częstą nieobecność na posiedzeniach Zespołu i niewystarczające zaangażowanie w działalność ZI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7366" w14:textId="0E5D7C28" w:rsidR="009A105E" w:rsidRPr="00483A92" w:rsidRDefault="009A105E" w:rsidP="009A105E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47ECA4D6" w14:textId="6D58D523" w:rsidR="000B573F" w:rsidRPr="00483A92" w:rsidRDefault="009A105E" w:rsidP="009A105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W rubryce „Zagrożenia” znajduje się następujący zapis: „ograniczone środki finansowe na realizację działań związanych z przeciwdziałaniem przemocy”, który ujmuje szerokie spektrum problemów w tym zakresie.</w:t>
            </w:r>
          </w:p>
        </w:tc>
      </w:tr>
    </w:tbl>
    <w:p w14:paraId="6B888506" w14:textId="074E63BE" w:rsidR="00AB4E6E" w:rsidRPr="00483A92" w:rsidRDefault="00AB4E6E" w:rsidP="00AB4E6E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531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3969"/>
        <w:gridCol w:w="4111"/>
      </w:tblGrid>
      <w:tr w:rsidR="00AB4E6E" w:rsidRPr="00483A92" w14:paraId="0D19570C" w14:textId="77777777" w:rsidTr="00440B88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1DD4" w14:textId="2D4775FC" w:rsidR="00AB4E6E" w:rsidRPr="00483A92" w:rsidRDefault="00AB4E6E" w:rsidP="00AB4E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483A92">
              <w:rPr>
                <w:rFonts w:ascii="Arial" w:eastAsia="Times New Roman" w:hAnsi="Arial" w:cs="Arial"/>
                <w:b/>
                <w:kern w:val="3"/>
                <w:lang w:eastAsia="pl-PL"/>
              </w:rPr>
              <w:t>Nazwa instytucji</w:t>
            </w:r>
          </w:p>
        </w:tc>
        <w:tc>
          <w:tcPr>
            <w:tcW w:w="12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CC96" w14:textId="5C609204" w:rsidR="00AB4E6E" w:rsidRPr="00483A92" w:rsidRDefault="00BC491A" w:rsidP="00AB4E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483A92">
              <w:rPr>
                <w:rFonts w:ascii="Arial" w:hAnsi="Arial" w:cs="Arial"/>
                <w:noProof/>
              </w:rPr>
              <w:t>Departament Wdrażania Europejskiego Funduszu Społecznego UMWL w Lublinie</w:t>
            </w:r>
          </w:p>
        </w:tc>
      </w:tr>
      <w:tr w:rsidR="00AB4E6E" w:rsidRPr="00483A92" w14:paraId="1537256B" w14:textId="77777777" w:rsidTr="00440B88">
        <w:trPr>
          <w:trHeight w:val="98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61A1" w14:textId="77777777" w:rsidR="00AB4E6E" w:rsidRPr="00483A92" w:rsidRDefault="00AB4E6E" w:rsidP="00AB4E6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6050" w14:textId="7CB0816D" w:rsidR="00AB4E6E" w:rsidRPr="00483A92" w:rsidRDefault="0032284B" w:rsidP="00AB4E6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 xml:space="preserve">Rozdział 9. </w:t>
            </w:r>
            <w:r w:rsidRPr="00483A92">
              <w:rPr>
                <w:rFonts w:ascii="Arial" w:hAnsi="Arial" w:cs="Arial"/>
                <w:i/>
                <w:iCs/>
                <w:noProof/>
              </w:rPr>
              <w:t>Analiza SWOT SŁABE STRONY</w:t>
            </w:r>
            <w:r w:rsidRPr="00483A92">
              <w:rPr>
                <w:rFonts w:ascii="Arial" w:hAnsi="Arial" w:cs="Arial"/>
                <w:noProof/>
              </w:rPr>
              <w:t>, s</w:t>
            </w:r>
            <w:r w:rsidRPr="00483A92">
              <w:rPr>
                <w:rFonts w:ascii="Arial" w:hAnsi="Arial" w:cs="Arial"/>
              </w:rPr>
              <w:t>tr. 45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F2E" w14:textId="77777777" w:rsidR="00896A7B" w:rsidRPr="00483A92" w:rsidRDefault="00896A7B" w:rsidP="00896A7B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483A92">
              <w:rPr>
                <w:rFonts w:ascii="Arial" w:eastAsia="Calibri" w:hAnsi="Arial" w:cs="Arial"/>
              </w:rPr>
              <w:t xml:space="preserve">Uwaga dotyczy następującego zapisu:  </w:t>
            </w:r>
          </w:p>
          <w:p w14:paraId="61476F85" w14:textId="77777777" w:rsidR="00896A7B" w:rsidRPr="00483A92" w:rsidRDefault="00896A7B" w:rsidP="00896A7B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104FBC99" w14:textId="0C8E2C2B" w:rsidR="00AB4E6E" w:rsidRPr="00483A92" w:rsidRDefault="00896A7B" w:rsidP="00896A7B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eastAsia="Calibri" w:hAnsi="Arial" w:cs="Arial"/>
                <w:i/>
                <w:iCs/>
              </w:rPr>
              <w:t>„niewystarczający udział mediów</w:t>
            </w:r>
            <w:r w:rsidRPr="00483A92">
              <w:rPr>
                <w:rFonts w:ascii="Arial" w:eastAsia="Calibri" w:hAnsi="Arial" w:cs="Arial"/>
                <w:i/>
                <w:iCs/>
              </w:rPr>
              <w:br/>
              <w:t>w działaniach na rzecz przeciwdziałania przemocy w rodzinie”.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D288" w14:textId="4690F880" w:rsidR="00AB4E6E" w:rsidRPr="00483A92" w:rsidRDefault="00805604" w:rsidP="006C3430">
            <w:pPr>
              <w:pStyle w:val="Tekstpodstawowy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83A92">
              <w:rPr>
                <w:rFonts w:ascii="Arial" w:hAnsi="Arial" w:cs="Arial"/>
                <w:noProof/>
                <w:sz w:val="22"/>
                <w:szCs w:val="22"/>
              </w:rPr>
              <w:t xml:space="preserve">Konsultowany 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Wojewódzkiego Programu Przeciwdziałania Przemocy w Rodzinie na lata 2022-2025 </w:t>
            </w:r>
            <w:r w:rsidRPr="00483A92">
              <w:rPr>
                <w:rFonts w:ascii="Arial" w:hAnsi="Arial" w:cs="Arial"/>
                <w:noProof/>
                <w:sz w:val="22"/>
                <w:szCs w:val="22"/>
              </w:rPr>
              <w:t xml:space="preserve">nie zawiera analizy i diagnozy problemu w tym obszarze.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E318" w14:textId="6294E777" w:rsidR="00AB4E6E" w:rsidRPr="00483A92" w:rsidRDefault="0017778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Przyjęto.</w:t>
            </w:r>
          </w:p>
          <w:p w14:paraId="28938AA0" w14:textId="77777777" w:rsidR="00B66CB4" w:rsidRPr="00483A92" w:rsidRDefault="00B66CB4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  <w:p w14:paraId="138CA232" w14:textId="34E50F9D" w:rsidR="00AB4E6E" w:rsidRPr="00483A92" w:rsidRDefault="00AB4E6E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AB4E6E" w:rsidRPr="00483A92" w14:paraId="4416FEA9" w14:textId="77777777" w:rsidTr="00440B88">
        <w:trPr>
          <w:trHeight w:val="97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37C2" w14:textId="77777777" w:rsidR="00AB4E6E" w:rsidRPr="00483A92" w:rsidRDefault="00AB4E6E" w:rsidP="00AB4E6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0F07" w14:textId="6760BD60" w:rsidR="00AB4E6E" w:rsidRPr="00483A92" w:rsidRDefault="00F97F98" w:rsidP="00AB4E6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Rozdział 9 Analiza SWOT i rekomendacje, MOCNE STRONY, str.46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5BA0" w14:textId="0A06D9D7" w:rsidR="00AB4E6E" w:rsidRPr="00483A92" w:rsidRDefault="00E10DF0" w:rsidP="00AB4E6E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Rezygnacja z wykazywania jako MOCNYCH STRON punktu "</w:t>
            </w:r>
            <w:r w:rsidRPr="00483A92">
              <w:rPr>
                <w:rFonts w:ascii="Arial" w:hAnsi="Arial" w:cs="Arial"/>
                <w:i/>
                <w:iCs/>
              </w:rPr>
              <w:t xml:space="preserve">spadek liczby interwencji policji </w:t>
            </w:r>
            <w:r w:rsidRPr="00483A92">
              <w:rPr>
                <w:rFonts w:ascii="Arial" w:hAnsi="Arial" w:cs="Arial"/>
                <w:i/>
                <w:iCs/>
              </w:rPr>
              <w:br/>
              <w:t>z wykorzystaniem procedury "Niebieskie Karty</w:t>
            </w:r>
            <w:r w:rsidRPr="00483A92">
              <w:rPr>
                <w:rFonts w:ascii="Arial" w:hAnsi="Arial" w:cs="Arial"/>
              </w:rPr>
              <w:t>".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DCB6" w14:textId="77777777" w:rsidR="000956F8" w:rsidRPr="00483A92" w:rsidRDefault="000956F8" w:rsidP="000956F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Według danych statystycznych policji znaczący spadek zarejestrowanych zdarzeń  odnotowany 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 xml:space="preserve">w liczbie wypełnionych formularzy „Niebieska Karta – A” przez funkcjonariuszy policji nastąpił w latach 2020-2021 (str.13).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"W opinii wielu specjalistów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z dziedziny przemocy w rodzinie, rozpatrywanie danych statystycznych z okresu przed pandemią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 i okresu pandemii oraz ich optymistyczne kojarzenie ze sobą może doprowadzić do powstania mylącej oceny, że w okresie pandemii zjawisko przemocy w rodzinie uległo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zmniejszeniu. Taki pogląd był kojarzony z faktami mniejszej liczby wszczętych procedur „Niebieskie Karty” uruchamianych przez Policję." </w:t>
            </w:r>
            <w:r w:rsidRPr="00483A92">
              <w:rPr>
                <w:rFonts w:ascii="Arial" w:hAnsi="Arial" w:cs="Arial"/>
                <w:sz w:val="22"/>
                <w:szCs w:val="22"/>
              </w:rPr>
              <w:t>(str.40)</w:t>
            </w:r>
          </w:p>
          <w:p w14:paraId="26981265" w14:textId="66F50EE0" w:rsidR="00AB4E6E" w:rsidRPr="00483A92" w:rsidRDefault="000956F8" w:rsidP="000956F8">
            <w:pPr>
              <w:suppressAutoHyphens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Wobec powyższego DW EFS rekomenduje rezygnację z wykazywania "spadku liczby interwencji policji z wykorzystaniem procedury "Niebieskie Karty" jako MOCNEJ STRONY.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964E" w14:textId="697CBF62" w:rsidR="00AB4E6E" w:rsidRPr="00483A92" w:rsidRDefault="0017778E" w:rsidP="00BC491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lastRenderedPageBreak/>
              <w:t>Przyjęto.</w:t>
            </w:r>
          </w:p>
        </w:tc>
      </w:tr>
      <w:tr w:rsidR="00AB4E6E" w:rsidRPr="00483A92" w14:paraId="27467190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6872" w14:textId="77777777" w:rsidR="00AB4E6E" w:rsidRPr="00483A92" w:rsidRDefault="00AB4E6E" w:rsidP="00AB4E6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A918" w14:textId="458BA2F1" w:rsidR="00AB4E6E" w:rsidRPr="00483A92" w:rsidRDefault="00BB55C9" w:rsidP="00BB55C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Rozdział 9 Analiza SWOT i rekomendacje, MOCNE STRONY, str.47-48</w:t>
            </w:r>
          </w:p>
          <w:p w14:paraId="5F3EC2BA" w14:textId="77777777" w:rsidR="00AB4E6E" w:rsidRPr="00483A92" w:rsidRDefault="00AB4E6E" w:rsidP="00AB4E6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8956" w14:textId="77777777" w:rsidR="00971F8E" w:rsidRPr="00483A92" w:rsidRDefault="00971F8E" w:rsidP="00971F8E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>Najważniejsze rekomendacje stworzone na podstawie przeprowadzonej diagnozy oraz na podstawie Raportu z badania społecznego pn. „Diagnoza skali przemocy w rodzinie, charakterystyka osób doznających przemocy i osób stosujących przemoc w rodzinie oraz rodzaje działań instytucjonalnych przeciwdziałających zjawisku przemocy w rodzinie”:</w:t>
            </w:r>
          </w:p>
          <w:p w14:paraId="14CD1107" w14:textId="51DD5FB0" w:rsidR="00AB4E6E" w:rsidRPr="00483A92" w:rsidRDefault="00971F8E" w:rsidP="00156876">
            <w:pPr>
              <w:suppressAutoHyphens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12.</w:t>
            </w:r>
            <w:r w:rsidRPr="00483A92">
              <w:rPr>
                <w:rFonts w:ascii="Arial" w:hAnsi="Arial" w:cs="Arial"/>
              </w:rPr>
              <w:tab/>
              <w:t xml:space="preserve">Wypracowanie procedur oraz szkoleń dla profesjonalistów z zakresu przeciwdziałania przemocy w rodzinie wobec osób starszych, </w:t>
            </w:r>
            <w:r w:rsidRPr="00483A92">
              <w:rPr>
                <w:rFonts w:ascii="Arial" w:hAnsi="Arial" w:cs="Arial"/>
                <w:strike/>
              </w:rPr>
              <w:t>niepełnosprawnych</w:t>
            </w:r>
            <w:r w:rsidRPr="00483A92">
              <w:rPr>
                <w:rFonts w:ascii="Arial" w:hAnsi="Arial" w:cs="Arial"/>
              </w:rPr>
              <w:t xml:space="preserve"> </w:t>
            </w:r>
            <w:r w:rsidRPr="00483A92">
              <w:rPr>
                <w:rFonts w:ascii="Arial" w:hAnsi="Arial" w:cs="Arial"/>
                <w:b/>
                <w:bCs/>
                <w:u w:val="single"/>
              </w:rPr>
              <w:t>osób z</w:t>
            </w:r>
            <w:r w:rsidRPr="00483A92">
              <w:rPr>
                <w:rFonts w:ascii="Arial" w:hAnsi="Arial" w:cs="Arial"/>
              </w:rPr>
              <w:t xml:space="preserve"> </w:t>
            </w:r>
            <w:r w:rsidRPr="00483A92">
              <w:rPr>
                <w:rFonts w:ascii="Arial" w:hAnsi="Arial" w:cs="Arial"/>
                <w:b/>
                <w:bCs/>
                <w:u w:val="single"/>
              </w:rPr>
              <w:t>niepełnosprawnością</w:t>
            </w:r>
            <w:r w:rsidRPr="00483A92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2182" w14:textId="77777777" w:rsidR="001B7301" w:rsidRPr="00483A92" w:rsidRDefault="001B7301" w:rsidP="001B730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celu uniknięcia stygmatyzacji osób 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 xml:space="preserve">z niepełnosprawnościami w krajowych i unijnych dokumentach strategicznych stosowane jest określenie „osoby z niepełnosprawnością” zamiast „osoby niepełnosprawne”, czy też niepełnosprawni”. </w:t>
            </w:r>
          </w:p>
          <w:p w14:paraId="63FBE066" w14:textId="7FBE50C6" w:rsidR="00AB4E6E" w:rsidRPr="00483A92" w:rsidRDefault="001B7301" w:rsidP="001309D0">
            <w:pPr>
              <w:suppressAutoHyphens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Z uwagi na charakter dokumentu wyznaczający  kierunek polityki społecznej, DW EFS proponuje rozważenie ujednolicenia zapisów w całym dokumencie poprzez zamianę określenia „niepełnosprawnych” na „osoby z niepełnosprawnością”.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3484" w14:textId="0B303800" w:rsidR="00AB4E6E" w:rsidRPr="00483A92" w:rsidRDefault="00AA0D7C" w:rsidP="00BC491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Przyjęto.</w:t>
            </w:r>
          </w:p>
        </w:tc>
      </w:tr>
      <w:tr w:rsidR="008C42FF" w:rsidRPr="00483A92" w14:paraId="4751D01D" w14:textId="77777777" w:rsidTr="00440B88">
        <w:trPr>
          <w:trHeight w:val="989"/>
        </w:trPr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7156" w14:textId="6FF6C382" w:rsidR="008C42FF" w:rsidRPr="00483A92" w:rsidRDefault="008C42FF" w:rsidP="008C42FF">
            <w:pPr>
              <w:widowControl w:val="0"/>
              <w:suppressAutoHyphens/>
              <w:autoSpaceDN w:val="0"/>
              <w:spacing w:after="120" w:line="240" w:lineRule="auto"/>
              <w:ind w:left="284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eastAsia="Times New Roman" w:hAnsi="Arial" w:cs="Arial"/>
                <w:kern w:val="3"/>
                <w:lang w:eastAsia="pl-PL"/>
              </w:rPr>
              <w:t>7.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F88E" w14:textId="77777777" w:rsidR="008C42FF" w:rsidRPr="00483A92" w:rsidRDefault="008C42FF" w:rsidP="008C42FF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Załącznik nr 1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Inne rozwiązania prawne o charakterze  krajowym dotyczące problemu przemocy</w:t>
            </w:r>
          </w:p>
          <w:p w14:paraId="382BC9C8" w14:textId="1B7B0DF4" w:rsidR="008C42FF" w:rsidRPr="00483A92" w:rsidRDefault="008C42FF" w:rsidP="008C42F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3149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3A92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DW EFS rekomenduje dodanie dodatkowej podstawy prawnej do Programu: </w:t>
            </w:r>
          </w:p>
          <w:p w14:paraId="7C83B58D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3D8E220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3A92">
              <w:rPr>
                <w:rFonts w:ascii="Arial" w:hAnsi="Arial" w:cs="Arial"/>
                <w:sz w:val="22"/>
                <w:szCs w:val="22"/>
                <w:u w:val="single"/>
              </w:rPr>
              <w:t>Dokumenty Organizacji Narodów Zjednoczonych:</w:t>
            </w:r>
          </w:p>
          <w:p w14:paraId="1267C1DD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1) Karta Narodów Zjednoczonych z 1945 r.; </w:t>
            </w:r>
          </w:p>
          <w:p w14:paraId="318505C4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2) Powszechna Deklaracja Praw Człowieka z 1948 r.;</w:t>
            </w:r>
          </w:p>
          <w:p w14:paraId="573AF8CF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 xml:space="preserve"> 3) Międzynarodowy Pakt Praw Obywatelskich 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>i Politycznych z 1966 r.;</w:t>
            </w:r>
          </w:p>
          <w:p w14:paraId="0C67F76B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 4) Konwencja w sprawie likwidacji wszelkich form dyskryminacji kobiet z 1979 r.;</w:t>
            </w:r>
          </w:p>
          <w:p w14:paraId="0B8B6BA9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5) Deklaracja Wiedeńska z 1993 r.; </w:t>
            </w:r>
          </w:p>
          <w:p w14:paraId="7EADF72D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6) Deklaracja o eliminacji przemocy wobec kobiet 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>z 1993 r.;</w:t>
            </w:r>
          </w:p>
          <w:p w14:paraId="72F06FCE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7) Deklaracja Pekińska z 1995 r.; </w:t>
            </w:r>
          </w:p>
          <w:p w14:paraId="0CFE38C9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8) Konwencja o Prawach Dziecka z 1989 r. </w:t>
            </w:r>
          </w:p>
          <w:p w14:paraId="0FD52FBE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9552C3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  <w:u w:val="single"/>
              </w:rPr>
              <w:t xml:space="preserve">Dokumenty Rady Europy: 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94A1EF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1) Rekomendacja Komitetu Ministrów Rady Europy nr R (85)4 w sprawie przemocy domowej z 26 marca 1985 r.; </w:t>
            </w:r>
          </w:p>
          <w:p w14:paraId="10153647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2) Rekomendacja Komitetu Ministrów Rady Europy nr R (90)2 w sprawie reakcji społecznych na przemoc w rodzinie z 15 stycznia 1990 r.; </w:t>
            </w:r>
          </w:p>
          <w:p w14:paraId="18D008C1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3) Rekomendacja Rady Europy 1450 (2000) dotycząca przemocy wobec kobiet w Europie; </w:t>
            </w:r>
          </w:p>
          <w:p w14:paraId="7FEC881C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4) Rekomendacja Komitetu Ministrów Rady Europy Rec. (2002) w sprawie ochrony kobiet przed przemocą z 30 kwietnia 2002 r.; </w:t>
            </w:r>
          </w:p>
          <w:p w14:paraId="302E9CA0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5) Konwencja o zapobieganiu i zwalczaniu przemocy wobec kobiet i przemocy domowej z 11 maja 2011 r. tzw. Konwencja Stambulska.</w:t>
            </w:r>
          </w:p>
          <w:p w14:paraId="073B62BF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47EAD8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3A92">
              <w:rPr>
                <w:rFonts w:ascii="Arial" w:hAnsi="Arial" w:cs="Arial"/>
                <w:sz w:val="22"/>
                <w:szCs w:val="22"/>
                <w:u w:val="single"/>
              </w:rPr>
              <w:t>Dokumenty Unii Europejskiej:</w:t>
            </w:r>
          </w:p>
          <w:p w14:paraId="3E090F73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1) Dyrektywa 2012/29/UE Parlamentu Europejskiego i Rady z dnia 25 października 2012 r. ustanawiająca normy minimalne w </w:t>
            </w: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 xml:space="preserve">zakresie praw, wsparcia i ochrony ofiar przestępstw oraz zastępująca decyzję ramową Rady 2001/220/WSiSW (Dz. Urz. UE L 315 z 14.11.2012,  </w:t>
            </w:r>
          </w:p>
          <w:p w14:paraId="7CA28458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2) Dyrektywa Parlamentu Europejskiego i Rady 2011/99/UE z dnia 13 grudnia 2011 r. w sprawie europejskiego nakazu ochrony (w sprawach karnych) (Dz. Urz. UE L 338 z 21.12.2011); </w:t>
            </w:r>
          </w:p>
          <w:p w14:paraId="01BC0E72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3) Dyrektywa Parlamentu Europejskiego i Rady 2011/92/UE z dnia 13 grudnia 2011 r. w sprawie zwalczania niegodziwego traktowania w celach seksualnych i wykorzystywania seksualnego dzieci oraz pornografii dziecięcej zastępująca decyzję ramową Rady 2004/68/WSiSW (Dz. Urz. UE L 335 17.12.2011); </w:t>
            </w:r>
          </w:p>
          <w:p w14:paraId="2682E33D" w14:textId="77777777" w:rsidR="008C42FF" w:rsidRPr="00483A92" w:rsidRDefault="008C42FF" w:rsidP="008C42FF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4) Dyrektywa Parlamentu Europejskiego i Rady 2011/36/UE z dnia 5 kwietnia 2011 r. w sprawie zapobiegania handlowi ludźmi i zwalczania tego procederu oraz ochrony ofiar (Dz. Urz. UE L 101 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 xml:space="preserve">z 15.04.2011); </w:t>
            </w:r>
          </w:p>
          <w:p w14:paraId="02E8D9D2" w14:textId="06545B01" w:rsidR="008C42FF" w:rsidRPr="00483A92" w:rsidRDefault="008C42FF" w:rsidP="008C42FF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5) Program sztokholmski przyjęty w dniach 10-11 grudnia 2009 r.</w:t>
            </w: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861E" w14:textId="77777777" w:rsidR="00911A22" w:rsidRPr="00483A92" w:rsidRDefault="00911A22" w:rsidP="00911A22">
            <w:pPr>
              <w:pStyle w:val="Tekstprzypisudolneg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„Przemoc w rodzinie dotykająca dzieci jest szczególnie trudna do wykrycia z powodu zachowywania tajemnicy przez osoby dorosłe, jak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 i same dzieci.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Konwencja stambulska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podkreśla, że dzieci są ofiarami przemocy domowej również jako jej świadkowie” 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(str. 41). </w:t>
            </w:r>
          </w:p>
          <w:p w14:paraId="7438DF2C" w14:textId="0E96E0CA" w:rsidR="00911A22" w:rsidRPr="00483A92" w:rsidRDefault="00911A22" w:rsidP="00911A22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 xml:space="preserve">W związku z tym, że w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>Wojewódzkim Programie Przeciwdziałania Przemocy  w Rodzinie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lata 2022 - 2025 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 przywołany został  dokument prawny wydany przez  Radę Europy, np. 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>Konwencja Rady Europy o zapobieganiu i zwalczaniu przemocy wobec kobiet i przemocy domowej sporządzona</w:t>
            </w:r>
            <w:r w:rsidR="000D59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 Stambule 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dnia 11 maja 2011 r. (Dz.U. z 2015 r. poz. 961)  należy rozważyć, czy  Załącznik nr 1 </w:t>
            </w: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Inne rozwiązania prawne o charakterze  krajowym dotyczące problemu przemocy 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nie powinien zostać rozszerzony o akty prawne normujące problematykę przeciwdziałania przemocy 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 xml:space="preserve">w rodzinie obowiązujące z poziomu  Organizacji Narodów Zjednoczonych, Rady Europy i Unii Europejskiej. </w:t>
            </w:r>
          </w:p>
          <w:p w14:paraId="39F910CD" w14:textId="03FF6F41" w:rsidR="008C42FF" w:rsidRPr="00483A92" w:rsidRDefault="008C42FF" w:rsidP="008C42FF">
            <w:pPr>
              <w:suppressAutoHyphens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1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E31F" w14:textId="6A5988B2" w:rsidR="008C42FF" w:rsidRPr="00483A92" w:rsidRDefault="00AE3E99" w:rsidP="008C42FF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lastRenderedPageBreak/>
              <w:t>Nie przyjęto. Na etapie opracowywania Programu Autorzy uwzględnili wspomniane akty prawne jednak podjęto decyzję o ich rezygnacji ponieważ większość z nich ujęta jest w Krajowym Programie Przeciwdziałania Przemocy w Rodzinie.</w:t>
            </w:r>
          </w:p>
        </w:tc>
      </w:tr>
      <w:tr w:rsidR="001668FE" w:rsidRPr="00483A92" w14:paraId="10068703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B591" w14:textId="2FB439DD" w:rsidR="001668FE" w:rsidRPr="00483A92" w:rsidRDefault="009764AA" w:rsidP="008C42FF">
            <w:pPr>
              <w:widowControl w:val="0"/>
              <w:suppressAutoHyphens/>
              <w:autoSpaceDN w:val="0"/>
              <w:spacing w:after="120" w:line="240" w:lineRule="auto"/>
              <w:ind w:left="284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9F68" w14:textId="77777777" w:rsidR="001668FE" w:rsidRPr="00483A92" w:rsidRDefault="001668FE" w:rsidP="001668FE">
            <w:pPr>
              <w:pStyle w:val="Nagwek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3A92">
              <w:rPr>
                <w:rFonts w:ascii="Arial" w:hAnsi="Arial" w:cs="Arial"/>
                <w:color w:val="auto"/>
                <w:sz w:val="22"/>
                <w:szCs w:val="22"/>
              </w:rPr>
              <w:t xml:space="preserve">Rozdział 7 </w:t>
            </w:r>
            <w:r w:rsidRPr="00483A9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Krzywdzenie dzieci</w:t>
            </w:r>
            <w:r w:rsidRPr="00483A92">
              <w:rPr>
                <w:rFonts w:ascii="Arial" w:hAnsi="Arial" w:cs="Arial"/>
                <w:color w:val="auto"/>
                <w:sz w:val="22"/>
                <w:szCs w:val="22"/>
              </w:rPr>
              <w:t>, str. 41</w:t>
            </w:r>
          </w:p>
          <w:p w14:paraId="199935BF" w14:textId="77777777" w:rsidR="001668FE" w:rsidRPr="00483A92" w:rsidRDefault="001668FE" w:rsidP="008C42F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ABDA" w14:textId="77777777" w:rsidR="00C559D8" w:rsidRPr="00483A92" w:rsidRDefault="00C559D8" w:rsidP="00C559D8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Konwencja stambulska podkreśla, że dzieci są ofiarami przemocy domowej również jako jej świadkowie. </w:t>
            </w:r>
          </w:p>
          <w:p w14:paraId="79539425" w14:textId="77777777" w:rsidR="00C559D8" w:rsidRPr="00483A92" w:rsidRDefault="00C559D8" w:rsidP="00C559D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3A92">
              <w:rPr>
                <w:rFonts w:ascii="Arial" w:hAnsi="Arial" w:cs="Arial"/>
                <w:sz w:val="22"/>
                <w:szCs w:val="22"/>
                <w:u w:val="single"/>
              </w:rPr>
              <w:t>Należałoby rozwinąć wskazany zapis o informację wskazaną poniżej:</w:t>
            </w:r>
          </w:p>
          <w:p w14:paraId="25AFB176" w14:textId="16675A5D" w:rsidR="001668FE" w:rsidRPr="00483A92" w:rsidRDefault="00C559D8" w:rsidP="00C559D8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3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Funkcjonowanie dzieci i ich rozwój psychospołeczny zostaje zaburzony z powodu wychowywania się w rodzinie, w której dochodzi do przemocy. Nawet jeżeli  </w:t>
            </w: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 xml:space="preserve">przemoc nie dotyka dziecka bezpośrednio, to i tak staje się ono osobą doznającą przemocy, gdyż jest jej świadkiem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C3DF" w14:textId="576B992E" w:rsidR="001668FE" w:rsidRPr="00483A92" w:rsidRDefault="00CD3F6C" w:rsidP="00911A22">
            <w:pPr>
              <w:pStyle w:val="Tekstprzypisudolneg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 xml:space="preserve">Twórcy Konwencji Stambulskiej oraz specjaliści pracujący w obszarze wsparcia rodzin zwrócili uwagę na ważną kwestię, to że dzieci stają się osobami doznającymi przemocy już w momencie kiedy są świadkami przemocy. Badania psychologiczne pokazują, że dzieci uczą się poprzez obserwację i naśladownictwo. Może to spowodować, że  wśród osób </w:t>
            </w: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 xml:space="preserve">stosujących przemoc domową liczną grupę będą stanowiły osoby, które w dzieciństwie były świadkami przemocy, 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>a niekoniecznie jej ofiarami. Dlatego  wsparciem należy objąć także dzieci, które są świadkami przemocy w rodzinie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2FAB" w14:textId="77777777" w:rsidR="00474052" w:rsidRPr="00483A92" w:rsidRDefault="00474052" w:rsidP="00474052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 xml:space="preserve">Nie przyjęto. </w:t>
            </w:r>
          </w:p>
          <w:p w14:paraId="56623134" w14:textId="3BE16AF1" w:rsidR="001668FE" w:rsidRPr="00483A92" w:rsidRDefault="00474052" w:rsidP="00474052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83A92">
              <w:rPr>
                <w:rFonts w:ascii="Arial" w:hAnsi="Arial" w:cs="Arial"/>
              </w:rPr>
              <w:t xml:space="preserve">Podjęto decyzję o zasygnalizowaniu podanej informacji bez jej rozwinięcia.  </w:t>
            </w:r>
          </w:p>
        </w:tc>
      </w:tr>
      <w:tr w:rsidR="00174736" w:rsidRPr="00483A92" w14:paraId="66CA7E64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4D50" w14:textId="553EEC69" w:rsidR="00174736" w:rsidRPr="00483A92" w:rsidRDefault="009764AA" w:rsidP="008C42FF">
            <w:pPr>
              <w:widowControl w:val="0"/>
              <w:suppressAutoHyphens/>
              <w:autoSpaceDN w:val="0"/>
              <w:spacing w:after="120" w:line="240" w:lineRule="auto"/>
              <w:ind w:left="284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E46F" w14:textId="73C50284" w:rsidR="00174736" w:rsidRPr="00483A92" w:rsidRDefault="00A378D2" w:rsidP="001668FE">
            <w:pPr>
              <w:pStyle w:val="Nagwek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3A92">
              <w:rPr>
                <w:rFonts w:ascii="Arial" w:eastAsia="TimesNewRoman,Bold" w:hAnsi="Arial" w:cs="Arial"/>
                <w:i/>
                <w:iCs/>
                <w:color w:val="auto"/>
                <w:sz w:val="22"/>
                <w:szCs w:val="22"/>
                <w:lang w:eastAsia="x-none"/>
              </w:rPr>
              <w:t>Najważniejsze rekomendacje stworzone na podstawie przeprowadzonej diagnozy</w:t>
            </w:r>
            <w:r w:rsidRPr="00483A92">
              <w:rPr>
                <w:rFonts w:ascii="Arial" w:eastAsia="TimesNewRoman,Bold" w:hAnsi="Arial" w:cs="Arial"/>
                <w:i/>
                <w:iCs/>
                <w:color w:val="auto"/>
                <w:sz w:val="22"/>
                <w:szCs w:val="22"/>
                <w:lang w:eastAsia="x-none"/>
              </w:rPr>
              <w:br/>
              <w:t>oraz na podstawie Raportu z badania społecznego pn. „Diagnoza skali przemocy</w:t>
            </w:r>
            <w:r w:rsidRPr="00483A92">
              <w:rPr>
                <w:rFonts w:ascii="Arial" w:eastAsia="TimesNewRoman,Bold" w:hAnsi="Arial" w:cs="Arial"/>
                <w:i/>
                <w:iCs/>
                <w:color w:val="auto"/>
                <w:sz w:val="22"/>
                <w:szCs w:val="22"/>
                <w:lang w:eastAsia="x-none"/>
              </w:rPr>
              <w:br/>
              <w:t>w rodzinie, charakterystyka osób doznających przemocy</w:t>
            </w:r>
            <w:r w:rsidRPr="00483A92">
              <w:rPr>
                <w:rFonts w:ascii="Arial" w:eastAsia="TimesNewRoman,Bold" w:hAnsi="Arial" w:cs="Arial"/>
                <w:i/>
                <w:iCs/>
                <w:color w:val="auto"/>
                <w:sz w:val="22"/>
                <w:szCs w:val="22"/>
                <w:lang w:eastAsia="x-none"/>
              </w:rPr>
              <w:br/>
              <w:t xml:space="preserve"> i osób stosujących przemoc</w:t>
            </w:r>
            <w:r w:rsidRPr="00483A92">
              <w:rPr>
                <w:rFonts w:ascii="Arial" w:eastAsia="TimesNewRoman,Bold" w:hAnsi="Arial" w:cs="Arial"/>
                <w:i/>
                <w:iCs/>
                <w:color w:val="auto"/>
                <w:sz w:val="22"/>
                <w:szCs w:val="22"/>
                <w:lang w:eastAsia="x-none"/>
              </w:rPr>
              <w:br/>
              <w:t xml:space="preserve">w rodzinie oraz rodzaje działań instytucjonalnych przeciwdziałających zjawisku przemocy </w:t>
            </w:r>
            <w:r w:rsidRPr="00483A92">
              <w:rPr>
                <w:rFonts w:ascii="Arial" w:eastAsia="TimesNewRoman,Bold" w:hAnsi="Arial" w:cs="Arial"/>
                <w:i/>
                <w:iCs/>
                <w:color w:val="auto"/>
                <w:sz w:val="22"/>
                <w:szCs w:val="22"/>
                <w:lang w:eastAsia="x-none"/>
              </w:rPr>
              <w:br/>
              <w:t>w rodzinie”</w:t>
            </w:r>
            <w:r w:rsidRPr="00483A92">
              <w:rPr>
                <w:rFonts w:ascii="Arial" w:eastAsia="TimesNewRoman,Bold" w:hAnsi="Arial" w:cs="Arial"/>
                <w:color w:val="auto"/>
                <w:sz w:val="22"/>
                <w:szCs w:val="22"/>
                <w:lang w:eastAsia="x-none"/>
              </w:rPr>
              <w:t xml:space="preserve">  pkt. 12, str. 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BDAB" w14:textId="77777777" w:rsidR="00E00C7B" w:rsidRPr="00483A92" w:rsidRDefault="00E00C7B" w:rsidP="00E00C7B">
            <w:pPr>
              <w:spacing w:line="360" w:lineRule="auto"/>
              <w:contextualSpacing/>
              <w:jc w:val="both"/>
              <w:rPr>
                <w:rFonts w:ascii="Arial" w:eastAsia="TimesNewRoman,Bold" w:hAnsi="Arial" w:cs="Arial"/>
                <w:i/>
                <w:iCs/>
                <w:lang w:eastAsia="x-none"/>
              </w:rPr>
            </w:pPr>
            <w:r w:rsidRPr="00483A92">
              <w:rPr>
                <w:rFonts w:ascii="Arial" w:eastAsia="TimesNewRoman,Bold" w:hAnsi="Arial" w:cs="Arial"/>
                <w:i/>
                <w:iCs/>
                <w:lang w:eastAsia="x-none"/>
              </w:rPr>
              <w:t>„Wypracowanie procedur oraz szkoleń dla profesjonalistów z zakresu przeciwdziałania przemocy w rodzinie wobec osób starszych, niepełnosprawnych” .</w:t>
            </w:r>
          </w:p>
          <w:p w14:paraId="4A683F27" w14:textId="279BF508" w:rsidR="00174736" w:rsidRPr="00483A92" w:rsidRDefault="00E00C7B" w:rsidP="00E00C7B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Należy uzupełnić wskazany zapis o </w:t>
            </w:r>
            <w:r w:rsidRPr="00483A92">
              <w:rPr>
                <w:rFonts w:ascii="Arial" w:hAnsi="Arial" w:cs="Arial"/>
                <w:sz w:val="22"/>
                <w:szCs w:val="22"/>
                <w:u w:val="single"/>
              </w:rPr>
              <w:t>kobiety i dzieci</w:t>
            </w:r>
            <w:r w:rsidRPr="00483A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7F8B" w14:textId="77777777" w:rsidR="00C03979" w:rsidRPr="00483A92" w:rsidRDefault="00C03979" w:rsidP="00C0397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Z przeprowadzonej diagnozy i przywołanych danych statystycznych wynika, że to kobiety i dzieci są w dużej mierze ofiarami przemocy w rodzinie. Dlatego szczególnie ważna jest umiejętność pracy   z wyżej wymienionymi grupami. Zasadnym jest stałe podnoszenie kwalifikacji kadr i wypracowanie procedur w tym zakresie. </w:t>
            </w:r>
          </w:p>
          <w:p w14:paraId="1C4BAA4A" w14:textId="77777777" w:rsidR="00174736" w:rsidRPr="00483A92" w:rsidRDefault="00174736" w:rsidP="00911A22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9AAC" w14:textId="5AB234EB" w:rsidR="00174736" w:rsidRPr="00483A92" w:rsidRDefault="002D2F8C" w:rsidP="00474052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Przyjęto.</w:t>
            </w:r>
          </w:p>
        </w:tc>
      </w:tr>
    </w:tbl>
    <w:p w14:paraId="416E28DC" w14:textId="77777777" w:rsidR="00AB4E6E" w:rsidRPr="00483A92" w:rsidRDefault="00AB4E6E" w:rsidP="00AB4E6E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531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3969"/>
        <w:gridCol w:w="4111"/>
      </w:tblGrid>
      <w:tr w:rsidR="00B7723F" w:rsidRPr="00483A92" w14:paraId="43C3BDFE" w14:textId="77777777" w:rsidTr="00440B88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A4D7" w14:textId="77777777" w:rsidR="00B7723F" w:rsidRPr="00483A92" w:rsidRDefault="00B7723F" w:rsidP="00431E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483A92">
              <w:rPr>
                <w:rFonts w:ascii="Arial" w:eastAsia="Times New Roman" w:hAnsi="Arial" w:cs="Arial"/>
                <w:b/>
                <w:kern w:val="3"/>
                <w:lang w:eastAsia="pl-PL"/>
              </w:rPr>
              <w:t>Nazwa instytucji</w:t>
            </w:r>
          </w:p>
        </w:tc>
        <w:tc>
          <w:tcPr>
            <w:tcW w:w="12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9862" w14:textId="50DDD661" w:rsidR="00B7723F" w:rsidRPr="00483A92" w:rsidRDefault="009D0C19" w:rsidP="009D0C19">
            <w:pPr>
              <w:tabs>
                <w:tab w:val="left" w:pos="10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Maciej Sobieszczański/UMWL</w:t>
            </w:r>
          </w:p>
        </w:tc>
      </w:tr>
      <w:tr w:rsidR="00B7723F" w:rsidRPr="00483A92" w14:paraId="5D00A33B" w14:textId="77777777" w:rsidTr="00440B88">
        <w:trPr>
          <w:trHeight w:val="98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A3AC" w14:textId="37F5A9BA" w:rsidR="00B7723F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C1F0" w14:textId="595E146E" w:rsidR="00290C8A" w:rsidRPr="00483A92" w:rsidRDefault="00290C8A" w:rsidP="00290C8A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WPPR Str. 4 </w:t>
            </w:r>
          </w:p>
          <w:p w14:paraId="3DFAE470" w14:textId="77777777" w:rsidR="00290C8A" w:rsidRPr="00483A92" w:rsidRDefault="00290C8A" w:rsidP="00290C8A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bCs/>
                <w:sz w:val="22"/>
                <w:szCs w:val="22"/>
              </w:rPr>
              <w:t>„Wprowadzenie”</w:t>
            </w:r>
          </w:p>
          <w:p w14:paraId="47FFD4A0" w14:textId="5D1A64C4" w:rsidR="00B7723F" w:rsidRPr="00483A92" w:rsidRDefault="00290C8A" w:rsidP="00290C8A">
            <w:pPr>
              <w:tabs>
                <w:tab w:val="left" w:pos="1530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Akapit 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51A3" w14:textId="25550E8C" w:rsidR="00B7723F" w:rsidRPr="00483A92" w:rsidRDefault="00D44FC1" w:rsidP="00431E4F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 xml:space="preserve">Przeredagowanie akapitu lub wyjaśnienie pojęcia w dalszej części dokumentu. </w:t>
            </w:r>
          </w:p>
          <w:p w14:paraId="3C8CE17B" w14:textId="625B27CA" w:rsidR="00D44FC1" w:rsidRPr="00483A92" w:rsidRDefault="00D44FC1" w:rsidP="00D44FC1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4D92" w14:textId="77777777" w:rsidR="00920CD1" w:rsidRPr="00483A92" w:rsidRDefault="00920CD1" w:rsidP="00920CD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Sformułowanie „</w:t>
            </w:r>
            <w:r w:rsidRPr="00483A92">
              <w:rPr>
                <w:rFonts w:ascii="Arial" w:hAnsi="Arial" w:cs="Arial"/>
                <w:sz w:val="22"/>
                <w:szCs w:val="22"/>
                <w:u w:val="single"/>
              </w:rPr>
              <w:t>Ograniczanie przemocy</w:t>
            </w:r>
            <w:r w:rsidRPr="00483A92">
              <w:rPr>
                <w:rFonts w:ascii="Arial" w:hAnsi="Arial" w:cs="Arial"/>
                <w:sz w:val="22"/>
                <w:szCs w:val="22"/>
              </w:rPr>
              <w:t>….” nie występuje w dalszej części  dokumentu. Czytelnik nie wie co wchodzi w zakres znaczenia tego pojęcia. Wydaje się ono nieostre i po części sugerujące, iż działania administracji, organizacji lokalnych, NGO skupiać się będzie głównie na ograniczaniu zjawiska przemocy.</w:t>
            </w:r>
          </w:p>
          <w:p w14:paraId="265FD837" w14:textId="75561B75" w:rsidR="00B7723F" w:rsidRPr="00483A92" w:rsidRDefault="00B7723F" w:rsidP="00BC491A">
            <w:pPr>
              <w:suppressAutoHyphens/>
              <w:autoSpaceDN w:val="0"/>
              <w:spacing w:after="120" w:line="240" w:lineRule="auto"/>
              <w:ind w:left="458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1DD8" w14:textId="77777777" w:rsidR="00421ABA" w:rsidRPr="00483A92" w:rsidRDefault="00421ABA" w:rsidP="00421AB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Nie przyjęto.</w:t>
            </w:r>
          </w:p>
          <w:p w14:paraId="563F5549" w14:textId="77777777" w:rsidR="00AF5CE6" w:rsidRPr="00483A92" w:rsidRDefault="00AF5CE6" w:rsidP="00AF5CE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rubryce „proponowana treść zapisu” nie przedstawiono propozycji nowego zapisu. </w:t>
            </w:r>
          </w:p>
          <w:p w14:paraId="1E07A882" w14:textId="77777777" w:rsidR="000F4CE9" w:rsidRPr="00483A92" w:rsidRDefault="000F4CE9" w:rsidP="000F4CE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Określenie „ograniczanie przemocy” jest powszechnie stosowane wśród badaczy zjawiska przemocy. </w:t>
            </w:r>
          </w:p>
          <w:p w14:paraId="5F6C68E3" w14:textId="4667CEA7" w:rsidR="00B7723F" w:rsidRPr="00483A92" w:rsidRDefault="00421ABA" w:rsidP="00B35FB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FB8" w:rsidRPr="00483A92">
              <w:rPr>
                <w:rFonts w:ascii="Arial" w:hAnsi="Arial" w:cs="Arial"/>
                <w:sz w:val="22"/>
                <w:szCs w:val="22"/>
              </w:rPr>
              <w:t>Warto więc podkreślić, że nie ma takiej interwencji społecznej, która w pełni doprowadza do rozwiązania zastanego problemu społecznego. W związku z powyższym sformułowanie „ograniczanie przemocy” jest zdaniem autorów niniejszego dokumentu jak najbardziej adekwatne do pozostałej treści akapitu.</w:t>
            </w:r>
          </w:p>
        </w:tc>
      </w:tr>
      <w:tr w:rsidR="00B7723F" w:rsidRPr="00483A92" w14:paraId="7BFE578D" w14:textId="77777777" w:rsidTr="00D93897">
        <w:trPr>
          <w:trHeight w:val="85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F54F" w14:textId="1E1781D6" w:rsidR="00B7723F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90FF" w14:textId="77777777" w:rsidR="00E85390" w:rsidRPr="00483A92" w:rsidRDefault="00E85390" w:rsidP="00E85390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WPPR Str. 4 </w:t>
            </w:r>
          </w:p>
          <w:p w14:paraId="4F404739" w14:textId="77777777" w:rsidR="00E85390" w:rsidRPr="00483A92" w:rsidRDefault="00E85390" w:rsidP="00E85390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bCs/>
                <w:sz w:val="22"/>
                <w:szCs w:val="22"/>
              </w:rPr>
              <w:t>„Wprowadzenie”</w:t>
            </w:r>
          </w:p>
          <w:p w14:paraId="4709C099" w14:textId="6FF94593" w:rsidR="00B7723F" w:rsidRPr="00483A92" w:rsidRDefault="00E85390" w:rsidP="00E85390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Akapit 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92CF" w14:textId="5044E040" w:rsidR="00B7723F" w:rsidRPr="00483A92" w:rsidRDefault="006E06EA" w:rsidP="00440B8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Wymienić dokumenty strategiczne, do których odnosi się akapit.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F49F" w14:textId="77777777" w:rsidR="00E66F5F" w:rsidRPr="00483A92" w:rsidRDefault="00E66F5F" w:rsidP="00E66F5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Brak we wprowadzeniu informacji o jakie dokumenty strategiczne szczebla wojewódzkiego chodzi. Przedstawić poziom spójności z SRWL 2030. </w:t>
            </w:r>
          </w:p>
          <w:p w14:paraId="01C2F841" w14:textId="6A11FF24" w:rsidR="00B7723F" w:rsidRPr="00483A92" w:rsidRDefault="00B7723F" w:rsidP="00BC491A">
            <w:pPr>
              <w:suppressAutoHyphens/>
              <w:autoSpaceDN w:val="0"/>
              <w:spacing w:after="120" w:line="240" w:lineRule="auto"/>
              <w:ind w:left="458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014A" w14:textId="77777777" w:rsidR="002C1036" w:rsidRPr="00483A92" w:rsidRDefault="002C1036" w:rsidP="002C103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Częściowo przyjęto. </w:t>
            </w:r>
          </w:p>
          <w:p w14:paraId="3F7E5F08" w14:textId="4315608F" w:rsidR="002C1036" w:rsidRPr="00483A92" w:rsidRDefault="002C1036" w:rsidP="002C103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rubryce „proponowana treść zapisu” nie zaproponowano proponowanej treści. W treści wspomnianego akapitu dokonano zmiany „…oraz dokumentem strategicznym…” Analizując niniejszy program </w:t>
            </w:r>
            <w:r w:rsidR="00154A4B" w:rsidRPr="00483A92">
              <w:rPr>
                <w:rFonts w:ascii="Arial" w:hAnsi="Arial" w:cs="Arial"/>
                <w:sz w:val="22"/>
                <w:szCs w:val="22"/>
              </w:rPr>
              <w:t>warto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 dokładnie zapoznać się z jego treścią wraz z załącznikami. W jednym z nich znajduje się informacja na temat dokumentu strategicznego obowiązującego w województwie lubelskim.  </w:t>
            </w:r>
          </w:p>
          <w:p w14:paraId="7307596B" w14:textId="4F91D586" w:rsidR="00B7723F" w:rsidRPr="00483A92" w:rsidRDefault="002C1036" w:rsidP="002C1036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 xml:space="preserve">Autorzy niniejszego programu uznali, iż istotną informacją dla czytelnika jest to, </w:t>
            </w:r>
            <w:r w:rsidRPr="00483A92">
              <w:rPr>
                <w:rFonts w:ascii="Arial" w:hAnsi="Arial" w:cs="Arial"/>
              </w:rPr>
              <w:lastRenderedPageBreak/>
              <w:t>że Program jest spójny, m.in. z dokumentem strategicznym S</w:t>
            </w:r>
            <w:r w:rsidR="00FD737D">
              <w:rPr>
                <w:rFonts w:ascii="Arial" w:hAnsi="Arial" w:cs="Arial"/>
              </w:rPr>
              <w:t xml:space="preserve">trategia </w:t>
            </w:r>
            <w:r w:rsidRPr="00483A92">
              <w:rPr>
                <w:rFonts w:ascii="Arial" w:hAnsi="Arial" w:cs="Arial"/>
              </w:rPr>
              <w:t>R</w:t>
            </w:r>
            <w:r w:rsidR="00FD737D">
              <w:rPr>
                <w:rFonts w:ascii="Arial" w:hAnsi="Arial" w:cs="Arial"/>
              </w:rPr>
              <w:t xml:space="preserve">ozwoju </w:t>
            </w:r>
            <w:r w:rsidRPr="00483A92">
              <w:rPr>
                <w:rFonts w:ascii="Arial" w:hAnsi="Arial" w:cs="Arial"/>
              </w:rPr>
              <w:t>W</w:t>
            </w:r>
            <w:r w:rsidR="00FD737D">
              <w:rPr>
                <w:rFonts w:ascii="Arial" w:hAnsi="Arial" w:cs="Arial"/>
              </w:rPr>
              <w:t xml:space="preserve">ojewództwa </w:t>
            </w:r>
            <w:r w:rsidRPr="00483A92">
              <w:rPr>
                <w:rFonts w:ascii="Arial" w:hAnsi="Arial" w:cs="Arial"/>
              </w:rPr>
              <w:t>L</w:t>
            </w:r>
            <w:r w:rsidR="00FD737D">
              <w:rPr>
                <w:rFonts w:ascii="Arial" w:hAnsi="Arial" w:cs="Arial"/>
              </w:rPr>
              <w:t>ubelskiego do</w:t>
            </w:r>
            <w:r w:rsidRPr="00483A92">
              <w:rPr>
                <w:rFonts w:ascii="Arial" w:hAnsi="Arial" w:cs="Arial"/>
              </w:rPr>
              <w:t xml:space="preserve"> 2030</w:t>
            </w:r>
            <w:r w:rsidR="009B4D51">
              <w:rPr>
                <w:rFonts w:ascii="Arial" w:hAnsi="Arial" w:cs="Arial"/>
              </w:rPr>
              <w:t xml:space="preserve"> roku</w:t>
            </w:r>
            <w:r w:rsidRPr="00483A92">
              <w:rPr>
                <w:rFonts w:ascii="Arial" w:hAnsi="Arial" w:cs="Arial"/>
              </w:rPr>
              <w:t xml:space="preserve"> bez uszczegóławiania na jakim poziomie.</w:t>
            </w:r>
          </w:p>
        </w:tc>
      </w:tr>
      <w:tr w:rsidR="00B7723F" w:rsidRPr="00483A92" w14:paraId="761E0EF8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BBD3" w14:textId="2EE6407F" w:rsidR="00B7723F" w:rsidRPr="009764AA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0C85" w14:textId="77777777" w:rsidR="005800E8" w:rsidRPr="00483A92" w:rsidRDefault="005800E8" w:rsidP="005800E8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6</w:t>
            </w:r>
          </w:p>
          <w:p w14:paraId="565BA823" w14:textId="29D875E5" w:rsidR="005800E8" w:rsidRPr="00483A92" w:rsidRDefault="005800E8" w:rsidP="00D93897">
            <w:pPr>
              <w:pStyle w:val="Nagwek1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Toc103154722"/>
            <w:r w:rsidRPr="00483A9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„Przemoc w rodzinie. Prawne aspekty problemu</w:t>
            </w:r>
            <w:bookmarkEnd w:id="0"/>
            <w:r w:rsidRPr="00483A92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</w:p>
          <w:p w14:paraId="154E3A8F" w14:textId="77777777" w:rsidR="005800E8" w:rsidRPr="00483A92" w:rsidRDefault="005800E8" w:rsidP="005800E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„Obowiązujące akty normatywne oraz dokumenty programowe zawierające w swojej treści kierunki działań w obszarze przeciwdziałania przemocy w rodzinie”</w:t>
            </w:r>
          </w:p>
          <w:p w14:paraId="4A608833" w14:textId="6F49A256" w:rsidR="00B7723F" w:rsidRPr="00483A92" w:rsidRDefault="005800E8" w:rsidP="00431E4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Akapit 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3209" w14:textId="2081D880" w:rsidR="00B7723F" w:rsidRPr="00483A92" w:rsidRDefault="00BE2917" w:rsidP="00BC491A">
            <w:pPr>
              <w:suppressAutoHyphens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Propozycja dołączenia do zał. nr 1 i skomasowania całości rozwiązań prawnych szczebla krajowego już w jednym miejscu.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A490" w14:textId="77777777" w:rsidR="00710764" w:rsidRPr="00483A92" w:rsidRDefault="00710764" w:rsidP="0071076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proponowanej formie nastąpiło rozbicie aktów prawnych, na te w załączniku i w samej treści głównej dokumentu nie wyjaśniając wagi takiego rozróżnienia. </w:t>
            </w:r>
          </w:p>
          <w:p w14:paraId="3D819E1E" w14:textId="42BA6008" w:rsidR="00B7723F" w:rsidRPr="00483A92" w:rsidRDefault="00B7723F" w:rsidP="00BC491A">
            <w:pPr>
              <w:suppressAutoHyphens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44DD" w14:textId="77777777" w:rsidR="004434B8" w:rsidRPr="00483A92" w:rsidRDefault="004434B8" w:rsidP="004434B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61758FE4" w14:textId="40C8683A" w:rsidR="00B7723F" w:rsidRPr="00483A92" w:rsidRDefault="00B558D4" w:rsidP="004434B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>Zamysłem autorów Programu w rozdziale „Przemoc w rodzinie. Prawne aspekty problemu” było przedstawienie aktów normatywnych, z których najczęściej korzystają praktycy polityki społecznej zaangażowani w rozwiązywanie problemu przemocy w rodzinie.</w:t>
            </w:r>
          </w:p>
        </w:tc>
      </w:tr>
      <w:tr w:rsidR="00B7723F" w:rsidRPr="00483A92" w14:paraId="19EB670C" w14:textId="77777777" w:rsidTr="00440B88">
        <w:trPr>
          <w:trHeight w:val="989"/>
        </w:trPr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2492" w14:textId="779089B6" w:rsidR="00B7723F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13</w:t>
            </w:r>
            <w:r w:rsidR="00B7723F" w:rsidRPr="00483A92">
              <w:rPr>
                <w:rFonts w:ascii="Arial" w:eastAsia="Times New Roman" w:hAnsi="Arial" w:cs="Arial"/>
                <w:kern w:val="3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B180" w14:textId="77777777" w:rsidR="00D70E67" w:rsidRPr="00483A92" w:rsidRDefault="00D70E67" w:rsidP="00D70E67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7</w:t>
            </w:r>
          </w:p>
          <w:p w14:paraId="4F213425" w14:textId="77777777" w:rsidR="00D70E67" w:rsidRPr="00483A92" w:rsidRDefault="00D70E67" w:rsidP="00D70E67">
            <w:pPr>
              <w:contextualSpacing/>
              <w:rPr>
                <w:rFonts w:ascii="Arial" w:hAnsi="Arial" w:cs="Arial"/>
                <w:b/>
              </w:rPr>
            </w:pPr>
            <w:r w:rsidRPr="00483A92">
              <w:rPr>
                <w:rFonts w:ascii="Arial" w:hAnsi="Arial" w:cs="Arial"/>
                <w:b/>
              </w:rPr>
              <w:t>„Zadania Samorządu Województwa Lubelskiego w zakresie przeciwdziałania przemocy</w:t>
            </w:r>
            <w:r w:rsidRPr="00483A92">
              <w:rPr>
                <w:rFonts w:ascii="Arial" w:hAnsi="Arial" w:cs="Arial"/>
                <w:b/>
              </w:rPr>
              <w:br/>
              <w:t>w rodzinie”</w:t>
            </w:r>
          </w:p>
          <w:p w14:paraId="47DA5592" w14:textId="77777777" w:rsidR="00D70E67" w:rsidRPr="00483A92" w:rsidRDefault="00D70E67" w:rsidP="00D70E67">
            <w:pPr>
              <w:contextualSpacing/>
              <w:rPr>
                <w:rFonts w:ascii="Arial" w:hAnsi="Arial" w:cs="Arial"/>
                <w:b/>
              </w:rPr>
            </w:pPr>
          </w:p>
          <w:p w14:paraId="4A54E535" w14:textId="1E118B9F" w:rsidR="00B7723F" w:rsidRPr="00483A92" w:rsidRDefault="00D70E67" w:rsidP="00D70E67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483A92">
              <w:rPr>
                <w:rFonts w:ascii="Arial" w:hAnsi="Arial" w:cs="Arial"/>
              </w:rPr>
              <w:t>Akapit 4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F8F2" w14:textId="0A9BA32A" w:rsidR="00B7723F" w:rsidRPr="00483A92" w:rsidRDefault="00460E81" w:rsidP="00431E4F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lastRenderedPageBreak/>
              <w:t>Wymienić obszary programowe, na które powołuje się tekst w tym akapicie.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AEB4" w14:textId="77777777" w:rsidR="0039780A" w:rsidRPr="00483A92" w:rsidRDefault="0039780A" w:rsidP="0039780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 tekście dok. przywołano informację o 4 problemowych obszarach bez ich nazwania.</w:t>
            </w:r>
          </w:p>
          <w:p w14:paraId="6C003BD2" w14:textId="0302EE66" w:rsidR="00B7723F" w:rsidRPr="00483A92" w:rsidRDefault="00B7723F" w:rsidP="00BC491A">
            <w:pPr>
              <w:suppressAutoHyphens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7257" w14:textId="77777777" w:rsidR="007A7C0D" w:rsidRPr="00483A92" w:rsidRDefault="007A7C0D" w:rsidP="007A7C0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475958FC" w14:textId="77777777" w:rsidR="007A7C0D" w:rsidRPr="00483A92" w:rsidRDefault="007A7C0D" w:rsidP="007A7C0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Zamysłem autorów była wzmianka o Krajowym Programie Przeciwdziałania Przemocy w Rodzinie określającym 4 obszary. </w:t>
            </w:r>
          </w:p>
          <w:p w14:paraId="016850AB" w14:textId="49B78C2B" w:rsidR="00B7723F" w:rsidRPr="00483A92" w:rsidRDefault="007A7C0D" w:rsidP="007A7C0D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483A92">
              <w:rPr>
                <w:rFonts w:ascii="Arial" w:hAnsi="Arial" w:cs="Arial"/>
              </w:rPr>
              <w:t xml:space="preserve">Czytelnik chcąc pogłębić swoją wiedzę w ww. zakresie może zapoznać się z treścią ogólnodostępnego KPPPwR, w </w:t>
            </w:r>
            <w:r w:rsidRPr="00483A92">
              <w:rPr>
                <w:rFonts w:ascii="Arial" w:hAnsi="Arial" w:cs="Arial"/>
              </w:rPr>
              <w:lastRenderedPageBreak/>
              <w:t xml:space="preserve">którym znajdują się szczegółowe informacje.  </w:t>
            </w:r>
          </w:p>
        </w:tc>
      </w:tr>
      <w:tr w:rsidR="007A7C0D" w:rsidRPr="00483A92" w14:paraId="0E6C8934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7D28" w14:textId="1A2366E6" w:rsidR="007A7C0D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A1A9" w14:textId="77777777" w:rsidR="003E50E7" w:rsidRPr="00483A92" w:rsidRDefault="003E50E7" w:rsidP="003E50E7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8</w:t>
            </w:r>
          </w:p>
          <w:p w14:paraId="0A832FE1" w14:textId="64CB76F1" w:rsidR="003E50E7" w:rsidRPr="00483A92" w:rsidRDefault="003E50E7" w:rsidP="00042B52">
            <w:pPr>
              <w:pStyle w:val="Nagwek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1" w:name="_Toc103154723"/>
            <w:r w:rsidRPr="00483A9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„Przemoc w rodzinie. Zarys teoretyczny</w:t>
            </w:r>
            <w:bookmarkEnd w:id="1"/>
            <w:r w:rsidRPr="00483A9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”</w:t>
            </w:r>
          </w:p>
          <w:p w14:paraId="2E1D5D8B" w14:textId="65D08DCC" w:rsidR="007A7C0D" w:rsidRPr="00483A92" w:rsidRDefault="003E50E7" w:rsidP="003E50E7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Akapit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7AA2" w14:textId="085E7B75" w:rsidR="007A7C0D" w:rsidRPr="00483A92" w:rsidRDefault="00BB65F4" w:rsidP="00BB65F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83A92">
              <w:rPr>
                <w:rFonts w:ascii="Arial" w:hAnsi="Arial" w:cs="Arial"/>
              </w:rPr>
              <w:t>Przeredagować akapit i zastąpić sformułowanie „inne formy” sformułowaniem „formy szczególne”.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7955" w14:textId="77777777" w:rsidR="0033185C" w:rsidRPr="00483A92" w:rsidRDefault="0033185C" w:rsidP="0033185C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Sformułowanie „…inne formy -…” W kontekście przywołanego art. 207 KK wydaje się, iż są to formy szczególne.</w:t>
            </w:r>
          </w:p>
          <w:p w14:paraId="3C5F6A39" w14:textId="77777777" w:rsidR="007A7C0D" w:rsidRPr="00483A92" w:rsidRDefault="007A7C0D" w:rsidP="0039780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F096" w14:textId="732897D0" w:rsidR="007A7C0D" w:rsidRPr="00483A92" w:rsidRDefault="009E54C6" w:rsidP="007A7C0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Przyjęto.</w:t>
            </w:r>
          </w:p>
        </w:tc>
      </w:tr>
      <w:tr w:rsidR="009E54C6" w:rsidRPr="00483A92" w14:paraId="5FD59C24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0689" w14:textId="3F74EC76" w:rsidR="009E54C6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8A03" w14:textId="77777777" w:rsidR="00EC1F0E" w:rsidRPr="00483A92" w:rsidRDefault="00EC1F0E" w:rsidP="00EC1F0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10</w:t>
            </w:r>
          </w:p>
          <w:p w14:paraId="2A254AD2" w14:textId="62BF897E" w:rsidR="00EC1F0E" w:rsidRPr="00483A92" w:rsidRDefault="00EC1F0E" w:rsidP="00EC1F0E">
            <w:pPr>
              <w:spacing w:before="240"/>
              <w:rPr>
                <w:rFonts w:ascii="Arial" w:hAnsi="Arial" w:cs="Arial"/>
                <w:b/>
              </w:rPr>
            </w:pPr>
            <w:r w:rsidRPr="00483A92">
              <w:rPr>
                <w:rFonts w:ascii="Arial" w:hAnsi="Arial" w:cs="Arial"/>
                <w:b/>
              </w:rPr>
              <w:t>Mity i stereotypy dotyczące przemocy w rodzinie</w:t>
            </w:r>
          </w:p>
          <w:p w14:paraId="30A3B35A" w14:textId="73B41A80" w:rsidR="009E54C6" w:rsidRPr="00483A92" w:rsidRDefault="00EC1F0E" w:rsidP="002A420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Akapit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47A9" w14:textId="37FA8B59" w:rsidR="009E54C6" w:rsidRPr="00483A92" w:rsidRDefault="003552AC" w:rsidP="00BB65F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83A92">
              <w:rPr>
                <w:rFonts w:ascii="Arial" w:hAnsi="Arial" w:cs="Arial"/>
              </w:rPr>
              <w:t>„Najczęściej występujące to:”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02E0" w14:textId="67992396" w:rsidR="008F1E58" w:rsidRPr="00483A92" w:rsidRDefault="008F1E58" w:rsidP="008F1E5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Korekta dot. usunięcia z wersu słowa „mity”</w:t>
            </w:r>
            <w:r w:rsidR="00DD0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A92">
              <w:rPr>
                <w:rFonts w:ascii="Arial" w:hAnsi="Arial" w:cs="Arial"/>
                <w:sz w:val="22"/>
                <w:szCs w:val="22"/>
              </w:rPr>
              <w:t>w stosunku do pierwotnej wersji, skoro są to także stereotypy.</w:t>
            </w:r>
          </w:p>
          <w:p w14:paraId="71DDC834" w14:textId="77777777" w:rsidR="009E54C6" w:rsidRPr="00483A92" w:rsidRDefault="009E54C6" w:rsidP="0033185C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5A5D" w14:textId="5007952E" w:rsidR="009E54C6" w:rsidRPr="00483A92" w:rsidRDefault="008557A2" w:rsidP="007A7C0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Przyjęto.</w:t>
            </w:r>
          </w:p>
        </w:tc>
      </w:tr>
      <w:tr w:rsidR="008557A2" w:rsidRPr="00483A92" w14:paraId="6F091537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6686" w14:textId="4B537ADF" w:rsidR="008557A2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CC62" w14:textId="77777777" w:rsidR="00637D9B" w:rsidRPr="00483A92" w:rsidRDefault="00637D9B" w:rsidP="00637D9B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11</w:t>
            </w:r>
          </w:p>
          <w:p w14:paraId="1631D3D3" w14:textId="77777777" w:rsidR="00637D9B" w:rsidRPr="00483A92" w:rsidRDefault="00637D9B" w:rsidP="00637D9B">
            <w:pPr>
              <w:spacing w:before="240"/>
              <w:rPr>
                <w:rFonts w:ascii="Arial" w:hAnsi="Arial" w:cs="Arial"/>
                <w:b/>
                <w:bCs/>
              </w:rPr>
            </w:pPr>
            <w:bookmarkStart w:id="2" w:name="_Toc103154725"/>
            <w:r w:rsidRPr="00483A92">
              <w:rPr>
                <w:rFonts w:ascii="Arial" w:hAnsi="Arial" w:cs="Arial"/>
                <w:b/>
                <w:bCs/>
              </w:rPr>
              <w:t>Badania społeczne</w:t>
            </w:r>
            <w:bookmarkEnd w:id="2"/>
          </w:p>
          <w:p w14:paraId="109801D3" w14:textId="77777777" w:rsidR="00637D9B" w:rsidRPr="00483A92" w:rsidRDefault="00637D9B" w:rsidP="00637D9B">
            <w:pPr>
              <w:spacing w:before="240"/>
              <w:rPr>
                <w:rFonts w:ascii="Arial" w:hAnsi="Arial" w:cs="Arial"/>
                <w:b/>
              </w:rPr>
            </w:pPr>
          </w:p>
          <w:p w14:paraId="328AA9A9" w14:textId="77777777" w:rsidR="00637D9B" w:rsidRPr="00483A92" w:rsidRDefault="00637D9B" w:rsidP="00637D9B">
            <w:pPr>
              <w:rPr>
                <w:rFonts w:ascii="Arial" w:hAnsi="Arial" w:cs="Arial"/>
              </w:rPr>
            </w:pPr>
            <w:r w:rsidRPr="00483A92">
              <w:rPr>
                <w:rFonts w:ascii="Arial" w:hAnsi="Arial" w:cs="Arial"/>
              </w:rPr>
              <w:t>Akapit 2 i 3</w:t>
            </w:r>
          </w:p>
          <w:p w14:paraId="6941DFAB" w14:textId="77777777" w:rsidR="008557A2" w:rsidRPr="00483A92" w:rsidRDefault="008557A2" w:rsidP="00EC1F0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F47E" w14:textId="77777777" w:rsidR="000C21BA" w:rsidRPr="00483A92" w:rsidRDefault="000C21BA" w:rsidP="000C21BA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ind w:left="201" w:hanging="283"/>
              <w:rPr>
                <w:rFonts w:ascii="Arial" w:hAnsi="Arial" w:cs="Arial"/>
                <w:bCs/>
              </w:rPr>
            </w:pPr>
            <w:r w:rsidRPr="00483A92">
              <w:rPr>
                <w:rFonts w:ascii="Arial" w:hAnsi="Arial" w:cs="Arial"/>
                <w:bCs/>
              </w:rPr>
              <w:t>Wskazać najważniejsze konkluzje dot. dowodów, o których mowa w tekście.</w:t>
            </w:r>
          </w:p>
          <w:p w14:paraId="1F2E9DC8" w14:textId="69207D48" w:rsidR="008557A2" w:rsidRPr="00483A92" w:rsidRDefault="000C21BA" w:rsidP="000C21B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83A92">
              <w:rPr>
                <w:rFonts w:ascii="Arial" w:hAnsi="Arial" w:cs="Arial"/>
                <w:bCs/>
              </w:rPr>
              <w:t>Przywołać wyniki badań dla woj. lub.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5041" w14:textId="77777777" w:rsidR="00096572" w:rsidRPr="00483A92" w:rsidRDefault="00096572" w:rsidP="00096572">
            <w:pPr>
              <w:pStyle w:val="Tekstpodstawowy"/>
              <w:numPr>
                <w:ilvl w:val="0"/>
                <w:numId w:val="12"/>
              </w:numPr>
              <w:ind w:left="2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Jakie dowody świadczące o coraz większej świadomości społecznej na temat zjawiska przemocy są tu brane pod uwagę?</w:t>
            </w:r>
          </w:p>
          <w:p w14:paraId="7DD484AF" w14:textId="77777777" w:rsidR="00096572" w:rsidRPr="00483A92" w:rsidRDefault="00096572" w:rsidP="00096572">
            <w:pPr>
              <w:pStyle w:val="Tekstpodstawowy"/>
              <w:numPr>
                <w:ilvl w:val="0"/>
                <w:numId w:val="12"/>
              </w:numPr>
              <w:ind w:left="2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Uwaga ogólna – brak szczegółowszych danych statystycznych, tj. wyników </w:t>
            </w:r>
            <w:r w:rsidRPr="00483A92">
              <w:rPr>
                <w:rFonts w:ascii="Arial" w:hAnsi="Arial" w:cs="Arial"/>
                <w:sz w:val="22"/>
                <w:szCs w:val="22"/>
              </w:rPr>
              <w:br/>
              <w:t>z badania dla woj. lub. np. na tle kraju, itp.</w:t>
            </w:r>
          </w:p>
          <w:p w14:paraId="5A67C265" w14:textId="5CF31AD1" w:rsidR="008557A2" w:rsidRPr="00483A92" w:rsidRDefault="00096572" w:rsidP="00096572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(N=15) brak wyjaśnienia znaczenia informacji.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5489" w14:textId="77777777" w:rsidR="00BE5BC5" w:rsidRPr="00483A92" w:rsidRDefault="00BE5BC5" w:rsidP="00BE5BC5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Częściowo przyjęto. </w:t>
            </w:r>
          </w:p>
          <w:p w14:paraId="48E4D666" w14:textId="77777777" w:rsidR="00BE5BC5" w:rsidRPr="00483A92" w:rsidRDefault="00BE5BC5" w:rsidP="00BE5BC5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rubryce „proponowana treść zapisu” nie zaproponowano proponowanej treści. </w:t>
            </w:r>
          </w:p>
          <w:p w14:paraId="0E01DD9A" w14:textId="77777777" w:rsidR="00BE5BC5" w:rsidRPr="00483A92" w:rsidRDefault="00BE5BC5" w:rsidP="002A420E">
            <w:pPr>
              <w:pStyle w:val="Tekstpodstawowy"/>
              <w:numPr>
                <w:ilvl w:val="0"/>
                <w:numId w:val="13"/>
              </w:numPr>
              <w:ind w:left="3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niniejszym tekście były brane pod uwagę wszystkie dowody świadczące o coraz większej świadomości społecznej na temat zjawiska przemocy. </w:t>
            </w:r>
          </w:p>
          <w:p w14:paraId="624F4B1E" w14:textId="77777777" w:rsidR="006021B9" w:rsidRPr="00483A92" w:rsidRDefault="00BE5BC5" w:rsidP="006021B9">
            <w:pPr>
              <w:pStyle w:val="Tekstpodstawowy"/>
              <w:numPr>
                <w:ilvl w:val="0"/>
                <w:numId w:val="13"/>
              </w:numPr>
              <w:ind w:left="3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akapicie 4 i 5 znajduje się informacja na temat badania przeprowadzonego na terenie województwa lubelskiego do którego czytelnik </w:t>
            </w:r>
            <w:r w:rsidR="00136BA2" w:rsidRPr="00483A92">
              <w:rPr>
                <w:rFonts w:ascii="Arial" w:hAnsi="Arial" w:cs="Arial"/>
                <w:sz w:val="22"/>
                <w:szCs w:val="22"/>
              </w:rPr>
              <w:t>może sięgnąć</w:t>
            </w:r>
            <w:r w:rsidR="00EF4361" w:rsidRPr="00483A92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uzyskać </w:t>
            </w:r>
            <w:r w:rsidR="00EF4361" w:rsidRPr="00483A92">
              <w:rPr>
                <w:rFonts w:ascii="Arial" w:hAnsi="Arial" w:cs="Arial"/>
                <w:sz w:val="22"/>
                <w:szCs w:val="22"/>
              </w:rPr>
              <w:t xml:space="preserve">bardziej 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szczegółowe informacje. </w:t>
            </w: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 xml:space="preserve">Wyniki przeprowadzonych badań są ogólnodostępne. </w:t>
            </w:r>
          </w:p>
          <w:p w14:paraId="59997422" w14:textId="7F4056CF" w:rsidR="008557A2" w:rsidRPr="00483A92" w:rsidRDefault="00BE5BC5" w:rsidP="006021B9">
            <w:pPr>
              <w:pStyle w:val="Tekstpodstawowy"/>
              <w:numPr>
                <w:ilvl w:val="0"/>
                <w:numId w:val="13"/>
              </w:numPr>
              <w:ind w:left="3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Dokonano zmianę zapisu na „…z 15 ekspertami…”</w:t>
            </w:r>
          </w:p>
        </w:tc>
      </w:tr>
      <w:tr w:rsidR="00BE5BC5" w:rsidRPr="00483A92" w14:paraId="309C3B63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C150" w14:textId="46F99C85" w:rsidR="00BE5BC5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3C24" w14:textId="77777777" w:rsidR="00552DE1" w:rsidRPr="00483A92" w:rsidRDefault="00552DE1" w:rsidP="00552DE1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12</w:t>
            </w:r>
          </w:p>
          <w:p w14:paraId="69FD10A9" w14:textId="69C227AD" w:rsidR="00552DE1" w:rsidRPr="00483A92" w:rsidRDefault="00552DE1" w:rsidP="00552DE1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483A92">
              <w:rPr>
                <w:rFonts w:ascii="Arial" w:hAnsi="Arial" w:cs="Arial"/>
                <w:b/>
                <w:bCs/>
              </w:rPr>
              <w:t>Badania społeczne</w:t>
            </w:r>
          </w:p>
          <w:p w14:paraId="2C750015" w14:textId="77777777" w:rsidR="00552DE1" w:rsidRPr="00483A92" w:rsidRDefault="00552DE1" w:rsidP="00552DE1">
            <w:pPr>
              <w:rPr>
                <w:rFonts w:ascii="Arial" w:hAnsi="Arial" w:cs="Arial"/>
              </w:rPr>
            </w:pPr>
            <w:r w:rsidRPr="00483A92">
              <w:rPr>
                <w:rFonts w:ascii="Arial" w:hAnsi="Arial" w:cs="Arial"/>
              </w:rPr>
              <w:t>Akapit 1</w:t>
            </w:r>
          </w:p>
          <w:p w14:paraId="516000B7" w14:textId="77777777" w:rsidR="00BE5BC5" w:rsidRPr="00483A92" w:rsidRDefault="00BE5BC5" w:rsidP="00637D9B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4079" w14:textId="4F8128FE" w:rsidR="00BE5BC5" w:rsidRPr="00483A92" w:rsidRDefault="002C7E45" w:rsidP="00BE5BC5">
            <w:pPr>
              <w:spacing w:after="240" w:line="240" w:lineRule="auto"/>
              <w:rPr>
                <w:rFonts w:ascii="Arial" w:hAnsi="Arial" w:cs="Arial"/>
                <w:bCs/>
              </w:rPr>
            </w:pPr>
            <w:r w:rsidRPr="00483A92">
              <w:rPr>
                <w:rFonts w:ascii="Arial" w:hAnsi="Arial" w:cs="Arial"/>
                <w:bCs/>
              </w:rPr>
              <w:t>Przywołać wyniki badań dla woj. lub.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F89B" w14:textId="77777777" w:rsidR="008E3D7F" w:rsidRPr="00483A92" w:rsidRDefault="008E3D7F" w:rsidP="008E3D7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Uwaga ogólna – brak szczegółowszych danych statystycznych, tj. wyników z badania przywoływanego w tekście.</w:t>
            </w:r>
          </w:p>
          <w:p w14:paraId="369E538D" w14:textId="77777777" w:rsidR="00BE5BC5" w:rsidRPr="00483A92" w:rsidRDefault="00BE5BC5" w:rsidP="00BE5BC5">
            <w:pPr>
              <w:pStyle w:val="Tekstpodstawowy"/>
              <w:ind w:left="2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4856" w14:textId="77777777" w:rsidR="001E09D4" w:rsidRPr="00483A92" w:rsidRDefault="001E09D4" w:rsidP="001E09D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72F809C8" w14:textId="5EC4D43B" w:rsidR="00BE5BC5" w:rsidRPr="00483A92" w:rsidRDefault="008679ED" w:rsidP="001E09D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 akapicie 4 i 5 przedstawiono sygnalną informację na temat badania przeprowadzonego na terenie województwa lubelskiego. Pełne wyniki tego badania są ogólnodostępne.</w:t>
            </w:r>
          </w:p>
        </w:tc>
      </w:tr>
      <w:tr w:rsidR="001E09D4" w:rsidRPr="00483A92" w14:paraId="30E8507B" w14:textId="77777777" w:rsidTr="00042B5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B407" w14:textId="06EF20B9" w:rsidR="001E09D4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9BDE" w14:textId="77777777" w:rsidR="007B0A57" w:rsidRPr="00483A92" w:rsidRDefault="007B0A57" w:rsidP="007B0A57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12</w:t>
            </w:r>
          </w:p>
          <w:p w14:paraId="08E07C64" w14:textId="19E12090" w:rsidR="007B0A57" w:rsidRPr="00483A92" w:rsidRDefault="007B0A57" w:rsidP="007B0A57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483A92">
              <w:rPr>
                <w:rFonts w:ascii="Arial" w:hAnsi="Arial" w:cs="Arial"/>
                <w:b/>
                <w:bCs/>
              </w:rPr>
              <w:t>Procedura „Niebieskie Karty”</w:t>
            </w:r>
          </w:p>
          <w:p w14:paraId="7B3D680D" w14:textId="2710BC68" w:rsidR="001E09D4" w:rsidRPr="00483A92" w:rsidRDefault="007B0A57" w:rsidP="002A420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Akapit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185E" w14:textId="77777777" w:rsidR="007A7DE2" w:rsidRPr="00483A92" w:rsidRDefault="007A7DE2" w:rsidP="007A7DE2">
            <w:pPr>
              <w:spacing w:after="240"/>
              <w:rPr>
                <w:rFonts w:ascii="Arial" w:hAnsi="Arial" w:cs="Arial"/>
                <w:bCs/>
              </w:rPr>
            </w:pPr>
            <w:r w:rsidRPr="00483A92">
              <w:rPr>
                <w:rFonts w:ascii="Arial" w:hAnsi="Arial" w:cs="Arial"/>
                <w:bCs/>
              </w:rPr>
              <w:t>Wymienić typy działań interwencyjnych w ramach uprawnionych instytucji w woj. lub.</w:t>
            </w:r>
          </w:p>
          <w:p w14:paraId="7DCDB00F" w14:textId="77777777" w:rsidR="001E09D4" w:rsidRPr="00483A92" w:rsidRDefault="001E09D4" w:rsidP="007A7DE2">
            <w:pPr>
              <w:spacing w:after="24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9847" w14:textId="77777777" w:rsidR="00025BA4" w:rsidRPr="00483A92" w:rsidRDefault="00025BA4" w:rsidP="00025B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„działania interwencyjne” o jakie typy działań w ramach jakich uprawnionych instytucji chodzi? </w:t>
            </w:r>
          </w:p>
          <w:p w14:paraId="56E81AAC" w14:textId="77777777" w:rsidR="001E09D4" w:rsidRPr="00483A92" w:rsidRDefault="001E09D4" w:rsidP="008E3D7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C0C2" w14:textId="77777777" w:rsidR="000D75BE" w:rsidRPr="00483A92" w:rsidRDefault="000D75BE" w:rsidP="000D75BE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21540FA1" w14:textId="28D76312" w:rsidR="001E09D4" w:rsidRPr="00483A92" w:rsidRDefault="000D75BE" w:rsidP="000D75BE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rubryce „proponowana treść zapisu” nie zaproponowano proponowanej treści. Wszystkie działania podejmowane przez uprawnione instytucje znajdują się we wspomnianym rozporządzeniu o którym mowa w podrozdziale: </w:t>
            </w:r>
            <w:r w:rsidRPr="00483A92">
              <w:rPr>
                <w:rFonts w:ascii="Arial" w:hAnsi="Arial" w:cs="Arial"/>
                <w:bCs/>
                <w:sz w:val="22"/>
                <w:szCs w:val="22"/>
              </w:rPr>
              <w:t>Procedura „Niebieskie Karty</w:t>
            </w:r>
            <w:r w:rsidR="00224428" w:rsidRPr="00483A92">
              <w:rPr>
                <w:rFonts w:ascii="Arial" w:hAnsi="Arial" w:cs="Arial"/>
                <w:bCs/>
                <w:sz w:val="22"/>
                <w:szCs w:val="22"/>
              </w:rPr>
              <w:t>”.</w:t>
            </w:r>
          </w:p>
        </w:tc>
      </w:tr>
      <w:tr w:rsidR="000D75BE" w:rsidRPr="00483A92" w14:paraId="0DED5078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7896" w14:textId="21955C1E" w:rsidR="000D75BE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03CF" w14:textId="77777777" w:rsidR="00C64675" w:rsidRPr="00483A92" w:rsidRDefault="00C64675" w:rsidP="00C64675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19</w:t>
            </w:r>
          </w:p>
          <w:p w14:paraId="747088E9" w14:textId="0EBBECEC" w:rsidR="00C64675" w:rsidRPr="00483A92" w:rsidRDefault="00C64675" w:rsidP="00042B52">
            <w:pPr>
              <w:pStyle w:val="Nagwek2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3" w:name="_Toc103154728"/>
            <w:r w:rsidRPr="00483A9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„Pomoc dla rodzin dotkniętych przemocą w rodzinie z powodu współistnienia problemu alkoholowego</w:t>
            </w:r>
            <w:bookmarkEnd w:id="3"/>
            <w:r w:rsidRPr="00483A92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</w:p>
          <w:p w14:paraId="3539C3CC" w14:textId="1C413660" w:rsidR="000D75BE" w:rsidRPr="00483A92" w:rsidRDefault="00C64675" w:rsidP="002A420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Akapit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5854" w14:textId="77777777" w:rsidR="002F734E" w:rsidRPr="00483A92" w:rsidRDefault="002F734E" w:rsidP="002F734E">
            <w:pPr>
              <w:rPr>
                <w:rFonts w:ascii="Arial" w:hAnsi="Arial" w:cs="Arial"/>
                <w:noProof/>
              </w:rPr>
            </w:pPr>
            <w:r w:rsidRPr="00483A92">
              <w:rPr>
                <w:rFonts w:ascii="Arial" w:hAnsi="Arial" w:cs="Arial"/>
                <w:noProof/>
              </w:rPr>
              <w:lastRenderedPageBreak/>
              <w:t>„co wynika</w:t>
            </w:r>
            <w:r w:rsidRPr="00483A92">
              <w:rPr>
                <w:rFonts w:ascii="Arial" w:hAnsi="Arial" w:cs="Arial"/>
                <w:noProof/>
              </w:rPr>
              <w:br/>
              <w:t>z panującej epidemii wirusa SARS-CoV-2”</w:t>
            </w:r>
          </w:p>
          <w:p w14:paraId="2B3983B4" w14:textId="77777777" w:rsidR="002F734E" w:rsidRPr="00483A92" w:rsidRDefault="002F734E" w:rsidP="002F734E">
            <w:pPr>
              <w:rPr>
                <w:rFonts w:ascii="Arial" w:hAnsi="Arial" w:cs="Arial"/>
                <w:noProof/>
              </w:rPr>
            </w:pPr>
            <w:r w:rsidRPr="00483A92">
              <w:rPr>
                <w:rFonts w:ascii="Arial" w:hAnsi="Arial" w:cs="Arial"/>
                <w:noProof/>
              </w:rPr>
              <w:t>Zobrazować dane.</w:t>
            </w:r>
          </w:p>
          <w:p w14:paraId="04193085" w14:textId="77777777" w:rsidR="000D75BE" w:rsidRPr="00483A92" w:rsidRDefault="000D75BE" w:rsidP="007A7DE2">
            <w:pPr>
              <w:spacing w:after="24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A3E2" w14:textId="77777777" w:rsidR="00751D9A" w:rsidRPr="00483A92" w:rsidRDefault="00751D9A" w:rsidP="00751D9A">
            <w:pPr>
              <w:rPr>
                <w:rFonts w:ascii="Arial" w:hAnsi="Arial" w:cs="Arial"/>
                <w:noProof/>
              </w:rPr>
            </w:pPr>
            <w:r w:rsidRPr="00483A92">
              <w:rPr>
                <w:rFonts w:ascii="Arial" w:hAnsi="Arial" w:cs="Arial"/>
                <w:noProof/>
              </w:rPr>
              <w:t>„co może wynikać</w:t>
            </w:r>
            <w:r w:rsidRPr="00483A92">
              <w:rPr>
                <w:rFonts w:ascii="Arial" w:hAnsi="Arial" w:cs="Arial"/>
                <w:noProof/>
              </w:rPr>
              <w:br/>
              <w:t>z panującej epidemii wirusa SARS-CoV-2”</w:t>
            </w:r>
          </w:p>
          <w:p w14:paraId="63EB1228" w14:textId="77777777" w:rsidR="00751D9A" w:rsidRPr="00483A92" w:rsidRDefault="00751D9A" w:rsidP="00751D9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Czy ta hipoteza jest postawiona na podstawie badania? Jeżeli tak zobrazować dane wpływu pandemii na zagadnienie.</w:t>
            </w:r>
          </w:p>
          <w:p w14:paraId="4C246884" w14:textId="77777777" w:rsidR="00751D9A" w:rsidRPr="00483A92" w:rsidRDefault="00751D9A" w:rsidP="00751D9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6715C3" w14:textId="2BCA5D95" w:rsidR="000D75BE" w:rsidRPr="00483A92" w:rsidRDefault="00751D9A" w:rsidP="00751D9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>Uwaga ogólna, tab. 7-9 dane za rok 2020 czy są dostępne dane za rok 2021?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72F1" w14:textId="77777777" w:rsidR="00777E4C" w:rsidRPr="00483A92" w:rsidRDefault="00777E4C" w:rsidP="00777E4C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lastRenderedPageBreak/>
              <w:t xml:space="preserve">Nie przyjęto. </w:t>
            </w:r>
          </w:p>
          <w:p w14:paraId="38C14E35" w14:textId="77777777" w:rsidR="00777E4C" w:rsidRPr="00483A92" w:rsidRDefault="00777E4C" w:rsidP="00777E4C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rubryce „proponowana treść zapisu” nie zaproponowano proponowanej treści. Hipoteza nie wynika z badań. </w:t>
            </w:r>
          </w:p>
          <w:p w14:paraId="6AE22C1B" w14:textId="0FB77519" w:rsidR="00777E4C" w:rsidRPr="00483A92" w:rsidRDefault="00777E4C" w:rsidP="00777E4C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 momencie tworzenia Programu do chwili obecnej nie ma udostępnionych danych statystycznych</w:t>
            </w:r>
            <w:r w:rsidR="00BE6791" w:rsidRPr="00483A92">
              <w:rPr>
                <w:rFonts w:ascii="Arial" w:hAnsi="Arial" w:cs="Arial"/>
                <w:sz w:val="22"/>
                <w:szCs w:val="22"/>
              </w:rPr>
              <w:t xml:space="preserve"> za rok 2021 z wymienionego źródła znajdującego się pod tabelą 7-9</w:t>
            </w:r>
            <w:r w:rsidRPr="00483A9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BAC390" w14:textId="77777777" w:rsidR="000D75BE" w:rsidRPr="00483A92" w:rsidRDefault="000D75BE" w:rsidP="000D75BE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A49" w:rsidRPr="00483A92" w14:paraId="75FCB55C" w14:textId="77777777" w:rsidTr="002A420E">
        <w:trPr>
          <w:trHeight w:val="1210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7527" w14:textId="79A31969" w:rsidR="004A2A49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7958" w14:textId="77777777" w:rsidR="00E466B9" w:rsidRPr="00483A92" w:rsidRDefault="00E466B9" w:rsidP="00E466B9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23</w:t>
            </w:r>
          </w:p>
          <w:p w14:paraId="0A993748" w14:textId="66BD9334" w:rsidR="004A2A49" w:rsidRPr="00483A92" w:rsidRDefault="00E466B9" w:rsidP="00042B52">
            <w:pPr>
              <w:spacing w:after="240"/>
              <w:rPr>
                <w:rFonts w:ascii="Arial" w:hAnsi="Arial" w:cs="Arial"/>
                <w:b/>
                <w:bCs/>
                <w:color w:val="FF0000"/>
              </w:rPr>
            </w:pPr>
            <w:r w:rsidRPr="00483A92">
              <w:rPr>
                <w:rFonts w:ascii="Arial" w:hAnsi="Arial" w:cs="Arial"/>
                <w:b/>
                <w:bCs/>
              </w:rPr>
              <w:t>Świadczenia pomocy społecznej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7E07" w14:textId="3AE3298C" w:rsidR="004A2A49" w:rsidRPr="00483A92" w:rsidRDefault="00B365EA" w:rsidP="002F734E">
            <w:pPr>
              <w:rPr>
                <w:rFonts w:ascii="Arial" w:hAnsi="Arial" w:cs="Arial"/>
                <w:noProof/>
              </w:rPr>
            </w:pPr>
            <w:r w:rsidRPr="00483A92">
              <w:rPr>
                <w:rFonts w:ascii="Arial" w:hAnsi="Arial" w:cs="Arial"/>
              </w:rPr>
              <w:t>Uwaga ogólna.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454C" w14:textId="77777777" w:rsidR="00C443F8" w:rsidRPr="00483A92" w:rsidRDefault="00C443F8" w:rsidP="00C443F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Czy są dostępne dane za rok 2021?</w:t>
            </w:r>
          </w:p>
          <w:p w14:paraId="68F1A736" w14:textId="77777777" w:rsidR="004A2A49" w:rsidRPr="00483A92" w:rsidRDefault="004A2A49" w:rsidP="00751D9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DD79" w14:textId="77777777" w:rsidR="00E445C5" w:rsidRPr="00483A92" w:rsidRDefault="00E445C5" w:rsidP="00E445C5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19A8A633" w14:textId="23CE3D28" w:rsidR="004A2A49" w:rsidRPr="00483A92" w:rsidRDefault="00E445C5" w:rsidP="00E445C5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Dane za rok 2021 pochodzące ze wspomnianego w przypisie nr 17 źródła nie zostały dotychczas opublikowane.</w:t>
            </w:r>
          </w:p>
        </w:tc>
      </w:tr>
      <w:tr w:rsidR="004A2A49" w:rsidRPr="00483A92" w14:paraId="6F48E4CE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1595" w14:textId="0F967DBC" w:rsidR="004A2A49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2D9A" w14:textId="77777777" w:rsidR="00577300" w:rsidRPr="00483A92" w:rsidRDefault="00577300" w:rsidP="00577300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25</w:t>
            </w:r>
          </w:p>
          <w:p w14:paraId="7714492E" w14:textId="77777777" w:rsidR="00577300" w:rsidRPr="00483A92" w:rsidRDefault="00577300" w:rsidP="00577300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sz w:val="22"/>
                <w:szCs w:val="22"/>
              </w:rPr>
              <w:t>Ośrodek interwencji kryzysowej</w:t>
            </w:r>
          </w:p>
          <w:p w14:paraId="12F8AE01" w14:textId="60485A8D" w:rsidR="004A2A49" w:rsidRPr="00483A92" w:rsidRDefault="00577300" w:rsidP="00577300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sz w:val="22"/>
                <w:szCs w:val="22"/>
              </w:rPr>
              <w:t>Akapit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0AAB" w14:textId="3A931CF7" w:rsidR="004A2A49" w:rsidRPr="00483A92" w:rsidRDefault="00A833CE" w:rsidP="00A833CE">
            <w:pPr>
              <w:jc w:val="center"/>
              <w:rPr>
                <w:rFonts w:ascii="Arial" w:hAnsi="Arial" w:cs="Arial"/>
                <w:noProof/>
              </w:rPr>
            </w:pPr>
            <w:r w:rsidRPr="00483A92">
              <w:rPr>
                <w:rFonts w:ascii="Arial" w:hAnsi="Arial" w:cs="Arial"/>
                <w:bCs/>
              </w:rPr>
              <w:t>Mapa występowania w woj. lubelskim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764B" w14:textId="77777777" w:rsidR="00326707" w:rsidRPr="00483A92" w:rsidRDefault="00326707" w:rsidP="00326707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Zobrazowanie skali zjawiska</w:t>
            </w:r>
          </w:p>
          <w:p w14:paraId="25FE25B4" w14:textId="77777777" w:rsidR="004A2A49" w:rsidRPr="00483A92" w:rsidRDefault="004A2A49" w:rsidP="00751D9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BE5C" w14:textId="77777777" w:rsidR="000C227D" w:rsidRPr="00483A92" w:rsidRDefault="000C227D" w:rsidP="000C227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Nie przyjęto.</w:t>
            </w:r>
          </w:p>
          <w:p w14:paraId="21F92D3B" w14:textId="77777777" w:rsidR="004A2A49" w:rsidRPr="00483A92" w:rsidRDefault="004A2A49" w:rsidP="00777E4C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A49" w:rsidRPr="00483A92" w14:paraId="5FCBE7C8" w14:textId="77777777" w:rsidTr="00042B5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4A98" w14:textId="640C46C2" w:rsidR="004A2A49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F69A" w14:textId="77777777" w:rsidR="00934B5C" w:rsidRPr="00483A92" w:rsidRDefault="00934B5C" w:rsidP="00934B5C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25</w:t>
            </w:r>
          </w:p>
          <w:p w14:paraId="39B0366E" w14:textId="77777777" w:rsidR="00934B5C" w:rsidRPr="00483A92" w:rsidRDefault="00934B5C" w:rsidP="00934B5C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sz w:val="22"/>
                <w:szCs w:val="22"/>
              </w:rPr>
              <w:t>Punkt interwencji kryzysowej</w:t>
            </w:r>
          </w:p>
          <w:p w14:paraId="54486769" w14:textId="3824F48D" w:rsidR="004A2A49" w:rsidRPr="00483A92" w:rsidRDefault="00934B5C" w:rsidP="00934B5C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sz w:val="22"/>
                <w:szCs w:val="22"/>
              </w:rPr>
              <w:t>Akapit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F7D7" w14:textId="7CD21C3B" w:rsidR="004A2A49" w:rsidRPr="00483A92" w:rsidRDefault="001711CC" w:rsidP="001711CC">
            <w:pPr>
              <w:jc w:val="center"/>
              <w:rPr>
                <w:rFonts w:ascii="Arial" w:hAnsi="Arial" w:cs="Arial"/>
                <w:noProof/>
              </w:rPr>
            </w:pPr>
            <w:r w:rsidRPr="00483A92">
              <w:rPr>
                <w:rFonts w:ascii="Arial" w:hAnsi="Arial" w:cs="Arial"/>
              </w:rPr>
              <w:t>Przywołać lokalizację i nazwę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F6F4" w14:textId="77777777" w:rsidR="00E039FE" w:rsidRPr="00483A92" w:rsidRDefault="00E039FE" w:rsidP="00E039FE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Jest to jeden punkt warto go bliżej przywołać.</w:t>
            </w:r>
          </w:p>
          <w:p w14:paraId="2B37E500" w14:textId="77777777" w:rsidR="004A2A49" w:rsidRPr="00483A92" w:rsidRDefault="004A2A49" w:rsidP="00751D9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8F72" w14:textId="77777777" w:rsidR="00B8664D" w:rsidRPr="00483A92" w:rsidRDefault="00B8664D" w:rsidP="00B8664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Przyjęto.</w:t>
            </w:r>
          </w:p>
          <w:p w14:paraId="0996C795" w14:textId="77777777" w:rsidR="00B8664D" w:rsidRPr="00483A92" w:rsidRDefault="00B8664D" w:rsidP="00B8664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 rubryce „proponowana treść zapisu” nie zaproponowano proponowanej treści.</w:t>
            </w:r>
          </w:p>
          <w:p w14:paraId="1A58E813" w14:textId="78735752" w:rsidR="004A2A49" w:rsidRPr="00483A92" w:rsidRDefault="00B8664D" w:rsidP="00B8664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 2021 r. funkcjonował nie 1 lecz 2 punkty interwencji kryzysowej. Doprecyzowano: „powiat puławski i opolski”.</w:t>
            </w:r>
          </w:p>
        </w:tc>
      </w:tr>
      <w:tr w:rsidR="004A2A49" w:rsidRPr="00483A92" w14:paraId="52BA31FC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679D" w14:textId="6E19B401" w:rsidR="004A2A49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5AF6" w14:textId="77777777" w:rsidR="005038AE" w:rsidRPr="00483A92" w:rsidRDefault="005038AE" w:rsidP="005038A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26</w:t>
            </w:r>
          </w:p>
          <w:p w14:paraId="55BB7738" w14:textId="77777777" w:rsidR="005038AE" w:rsidRPr="00483A92" w:rsidRDefault="005038AE" w:rsidP="005038A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483A92">
              <w:rPr>
                <w:rFonts w:ascii="Arial" w:hAnsi="Arial" w:cs="Arial"/>
                <w:b/>
                <w:bCs/>
              </w:rPr>
              <w:t>Oddziaływania korekcyjno-edukacyjne</w:t>
            </w:r>
          </w:p>
          <w:p w14:paraId="49DACBB9" w14:textId="13D96FBF" w:rsidR="004A2A49" w:rsidRPr="00483A92" w:rsidRDefault="005038AE" w:rsidP="005038A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sz w:val="22"/>
                <w:szCs w:val="22"/>
              </w:rPr>
              <w:t>Akapit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624E" w14:textId="61FF1009" w:rsidR="004A2A49" w:rsidRPr="00483A92" w:rsidRDefault="002C1D17" w:rsidP="002F734E">
            <w:pPr>
              <w:rPr>
                <w:rFonts w:ascii="Arial" w:hAnsi="Arial" w:cs="Arial"/>
                <w:noProof/>
              </w:rPr>
            </w:pPr>
            <w:r w:rsidRPr="00483A92">
              <w:rPr>
                <w:rFonts w:ascii="Arial" w:hAnsi="Arial" w:cs="Arial"/>
                <w:bCs/>
              </w:rPr>
              <w:t>Mapa powiatów realizujących zadanie.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B4A4" w14:textId="77777777" w:rsidR="00B86D60" w:rsidRPr="00483A92" w:rsidRDefault="00B86D60" w:rsidP="00B86D6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Zobrazowanie skali zjawiska.</w:t>
            </w:r>
          </w:p>
          <w:p w14:paraId="7AB62BF7" w14:textId="77777777" w:rsidR="004A2A49" w:rsidRPr="00483A92" w:rsidRDefault="004A2A49" w:rsidP="00751D9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9692" w14:textId="01A82923" w:rsidR="004A2A49" w:rsidRPr="00483A92" w:rsidRDefault="00BB4753" w:rsidP="00777E4C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Nie przyjęto.</w:t>
            </w:r>
          </w:p>
        </w:tc>
      </w:tr>
      <w:tr w:rsidR="002E6421" w:rsidRPr="00483A92" w14:paraId="26F25C67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A118" w14:textId="10E0CCDB" w:rsidR="002E6421" w:rsidRPr="00483A92" w:rsidRDefault="009764AA" w:rsidP="009764AA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E261" w14:textId="77777777" w:rsidR="00C2177E" w:rsidRPr="00483A92" w:rsidRDefault="00C2177E" w:rsidP="00C2177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32</w:t>
            </w:r>
          </w:p>
          <w:p w14:paraId="0A936867" w14:textId="77777777" w:rsidR="00C2177E" w:rsidRPr="00483A92" w:rsidRDefault="00C2177E" w:rsidP="00C2177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Nadzór i kontrola nad realizacją zadań z zakresu przeciwdziałania przemocy w rodzinie</w:t>
            </w:r>
          </w:p>
          <w:p w14:paraId="07831B2B" w14:textId="5418DDA1" w:rsidR="002E6421" w:rsidRPr="00483A92" w:rsidRDefault="00C2177E" w:rsidP="00C2177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sz w:val="22"/>
                <w:szCs w:val="22"/>
              </w:rPr>
              <w:t>Akapit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076E" w14:textId="0F1E6CDB" w:rsidR="002E6421" w:rsidRPr="00483A92" w:rsidRDefault="00452738" w:rsidP="002F734E">
            <w:pPr>
              <w:rPr>
                <w:rFonts w:ascii="Arial" w:hAnsi="Arial" w:cs="Arial"/>
                <w:bCs/>
              </w:rPr>
            </w:pPr>
            <w:r w:rsidRPr="00483A92">
              <w:rPr>
                <w:rFonts w:ascii="Arial" w:hAnsi="Arial" w:cs="Arial"/>
                <w:bCs/>
              </w:rPr>
              <w:t>Wymienić czynniki i elementy sprzyjające lub ograniczające skuteczną pomoc.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4B10" w14:textId="77777777" w:rsidR="00E7174C" w:rsidRPr="00483A92" w:rsidRDefault="00E7174C" w:rsidP="00E7174C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Powołując się na wyniki analiz nie przedstawiono rzeczonej informacji.</w:t>
            </w:r>
          </w:p>
          <w:p w14:paraId="2147D364" w14:textId="77777777" w:rsidR="002E6421" w:rsidRPr="00483A92" w:rsidRDefault="002E6421" w:rsidP="00B86D6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903E" w14:textId="77777777" w:rsidR="00CF4CFA" w:rsidRPr="00483A92" w:rsidRDefault="00CF4CFA" w:rsidP="00CF4CF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0D6D5B7D" w14:textId="77777777" w:rsidR="00CF4CFA" w:rsidRPr="00483A92" w:rsidRDefault="00CF4CFA" w:rsidP="00CF4CF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rubryce „proponowana treść zapisu” nie zaproponowano proponowanej treści. </w:t>
            </w:r>
          </w:p>
          <w:p w14:paraId="5B85614B" w14:textId="6EC92AA9" w:rsidR="002E6421" w:rsidRPr="00483A92" w:rsidRDefault="00CF4CFA" w:rsidP="00CF4CF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W treści znajduje się źródło do którego czytelnik może sięgnąć i uzyskać </w:t>
            </w:r>
            <w:r w:rsidR="00E8129E" w:rsidRPr="00483A92">
              <w:rPr>
                <w:rFonts w:ascii="Arial" w:hAnsi="Arial" w:cs="Arial"/>
                <w:sz w:val="22"/>
                <w:szCs w:val="22"/>
              </w:rPr>
              <w:t xml:space="preserve">bardziej </w:t>
            </w:r>
            <w:r w:rsidRPr="00483A92">
              <w:rPr>
                <w:rFonts w:ascii="Arial" w:hAnsi="Arial" w:cs="Arial"/>
                <w:sz w:val="22"/>
                <w:szCs w:val="22"/>
              </w:rPr>
              <w:t>szczegółowe informacje.</w:t>
            </w:r>
          </w:p>
        </w:tc>
      </w:tr>
      <w:tr w:rsidR="002E6421" w:rsidRPr="00483A92" w14:paraId="59A5D6E3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6F89" w14:textId="7CDA2E36" w:rsidR="002E6421" w:rsidRPr="00483A92" w:rsidRDefault="006C42D9" w:rsidP="006C42D9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4F07" w14:textId="77777777" w:rsidR="00124AA1" w:rsidRPr="00483A92" w:rsidRDefault="00124AA1" w:rsidP="00124AA1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bookmarkStart w:id="4" w:name="_Toc103154734"/>
            <w:bookmarkStart w:id="5" w:name="_Hlk99528056"/>
            <w:r w:rsidRPr="00483A92">
              <w:rPr>
                <w:rFonts w:ascii="Arial" w:hAnsi="Arial" w:cs="Arial"/>
                <w:sz w:val="22"/>
                <w:szCs w:val="22"/>
              </w:rPr>
              <w:t>WPPR Str. 32</w:t>
            </w:r>
          </w:p>
          <w:p w14:paraId="1A0B9B7C" w14:textId="77777777" w:rsidR="00124AA1" w:rsidRPr="00483A92" w:rsidRDefault="00124AA1" w:rsidP="00124AA1">
            <w:pPr>
              <w:pStyle w:val="Nagwek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3A92">
              <w:rPr>
                <w:rFonts w:ascii="Arial" w:hAnsi="Arial" w:cs="Arial"/>
                <w:color w:val="auto"/>
                <w:sz w:val="22"/>
                <w:szCs w:val="22"/>
              </w:rPr>
              <w:t>Obraz przemocy w rodzinie według danych prokuratury</w:t>
            </w:r>
            <w:bookmarkEnd w:id="4"/>
            <w:r w:rsidRPr="00483A9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bookmarkEnd w:id="5"/>
          <w:p w14:paraId="708FD7AD" w14:textId="4A5892A7" w:rsidR="002E6421" w:rsidRPr="00483A92" w:rsidRDefault="00124AA1" w:rsidP="00124AA1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sz w:val="22"/>
                <w:szCs w:val="22"/>
              </w:rPr>
              <w:t>Akapit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F0D2" w14:textId="25DAF538" w:rsidR="002E6421" w:rsidRPr="00483A92" w:rsidRDefault="00692142" w:rsidP="002F734E">
            <w:pPr>
              <w:rPr>
                <w:rFonts w:ascii="Arial" w:hAnsi="Arial" w:cs="Arial"/>
                <w:bCs/>
              </w:rPr>
            </w:pPr>
            <w:r w:rsidRPr="00483A92">
              <w:rPr>
                <w:rFonts w:ascii="Arial" w:hAnsi="Arial" w:cs="Arial"/>
              </w:rPr>
              <w:t>…”istnieje wiele przepisów poza wyżej wspomnianym rozdziałem, które definiują przestępstwa godzące</w:t>
            </w:r>
            <w:r w:rsidR="00B84161">
              <w:rPr>
                <w:rFonts w:ascii="Arial" w:hAnsi="Arial" w:cs="Arial"/>
              </w:rPr>
              <w:t xml:space="preserve"> </w:t>
            </w:r>
            <w:r w:rsidRPr="00483A92">
              <w:rPr>
                <w:rFonts w:ascii="Arial" w:hAnsi="Arial" w:cs="Arial"/>
              </w:rPr>
              <w:t>w bezpieczeństwo i spokój członków rodziny.”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A1A9" w14:textId="77777777" w:rsidR="0090577E" w:rsidRPr="00483A92" w:rsidRDefault="0090577E" w:rsidP="0090577E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Omyłka pisarska. Tekst w proponowanej formie sugerował nieprawdę.</w:t>
            </w:r>
          </w:p>
          <w:p w14:paraId="37909490" w14:textId="77777777" w:rsidR="002E6421" w:rsidRPr="00483A92" w:rsidRDefault="002E6421" w:rsidP="00B86D6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1DD9" w14:textId="1C69B223" w:rsidR="002E6421" w:rsidRPr="00483A92" w:rsidRDefault="00FA5089" w:rsidP="00777E4C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Przyjęto.</w:t>
            </w:r>
          </w:p>
        </w:tc>
      </w:tr>
      <w:tr w:rsidR="002E6421" w:rsidRPr="00483A92" w14:paraId="4BD253B7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4571" w14:textId="72B9E47E" w:rsidR="002E6421" w:rsidRPr="00483A92" w:rsidRDefault="006C42D9" w:rsidP="006C42D9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0884" w14:textId="77777777" w:rsidR="00863F2F" w:rsidRPr="00483A92" w:rsidRDefault="00863F2F" w:rsidP="00863F2F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40</w:t>
            </w:r>
          </w:p>
          <w:p w14:paraId="201477A9" w14:textId="77777777" w:rsidR="00863F2F" w:rsidRPr="00483A92" w:rsidRDefault="00863F2F" w:rsidP="00863F2F">
            <w:pPr>
              <w:pStyle w:val="Nagwek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6" w:name="_Toc103154737"/>
            <w:r w:rsidRPr="00483A9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Przemoc a pandemia wirusa SARS-CoV-2</w:t>
            </w:r>
            <w:bookmarkEnd w:id="6"/>
          </w:p>
          <w:p w14:paraId="4C3F61B7" w14:textId="77777777" w:rsidR="00863F2F" w:rsidRPr="00483A92" w:rsidRDefault="00863F2F" w:rsidP="00863F2F">
            <w:pPr>
              <w:rPr>
                <w:rFonts w:ascii="Arial" w:hAnsi="Arial" w:cs="Arial"/>
              </w:rPr>
            </w:pPr>
          </w:p>
          <w:p w14:paraId="1B52F3D1" w14:textId="20ECD4E8" w:rsidR="002E6421" w:rsidRPr="00483A92" w:rsidRDefault="00863F2F" w:rsidP="005038AE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b/>
                <w:sz w:val="22"/>
                <w:szCs w:val="22"/>
              </w:rPr>
              <w:t>Akapit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5366" w14:textId="382E4ED7" w:rsidR="002E6421" w:rsidRPr="00483A92" w:rsidRDefault="006B5A54" w:rsidP="002F734E">
            <w:pPr>
              <w:rPr>
                <w:rFonts w:ascii="Arial" w:hAnsi="Arial" w:cs="Arial"/>
                <w:bCs/>
              </w:rPr>
            </w:pPr>
            <w:r w:rsidRPr="00483A92">
              <w:rPr>
                <w:rFonts w:ascii="Arial" w:hAnsi="Arial" w:cs="Arial"/>
              </w:rPr>
              <w:t>Uwaga ogólna.</w:t>
            </w:r>
          </w:p>
          <w:p w14:paraId="586064D4" w14:textId="3EE07C38" w:rsidR="006B5A54" w:rsidRPr="00483A92" w:rsidRDefault="006B5A54" w:rsidP="006B5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0AF8" w14:textId="77777777" w:rsidR="006D1961" w:rsidRPr="00483A92" w:rsidRDefault="006D1961" w:rsidP="006D196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 tym podrozdziale występuje niejaka sprzeczność. Z jednej strony przywołana zostaje opinia RPO i Fundacji Feminoteka, z drugiej zaznaczono, iż brak wiarygodnych danych statystycznych za ten okres.</w:t>
            </w:r>
          </w:p>
          <w:p w14:paraId="0508F2EF" w14:textId="77777777" w:rsidR="002E6421" w:rsidRPr="00483A92" w:rsidRDefault="002E6421" w:rsidP="00B86D6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5B08" w14:textId="77777777" w:rsidR="00304F77" w:rsidRPr="00483A92" w:rsidRDefault="00304F77" w:rsidP="00304F77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435C6D1A" w14:textId="193F23EA" w:rsidR="002E6421" w:rsidRPr="00483A92" w:rsidRDefault="00304F77" w:rsidP="00304F77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 rubryce „proponowana treść zapisu” nie zaproponowano proponowanej treści. W tekście nie użyto określenia o braku WIARYGODNYCH danych a jedynie wspomniano o braku dostępnych statystyk obejmujących Polskę oraz województwo lubelskie.</w:t>
            </w:r>
          </w:p>
        </w:tc>
      </w:tr>
      <w:tr w:rsidR="00304F77" w:rsidRPr="00483A92" w14:paraId="13151B70" w14:textId="77777777" w:rsidTr="00440B8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1647" w14:textId="17D903D3" w:rsidR="00304F77" w:rsidRPr="00483A92" w:rsidRDefault="006C42D9" w:rsidP="006C42D9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D2B6" w14:textId="77777777" w:rsidR="00B73BA8" w:rsidRPr="00483A92" w:rsidRDefault="00B73BA8" w:rsidP="00B73BA8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WPPR Str. 47, 49</w:t>
            </w:r>
          </w:p>
          <w:p w14:paraId="248854AE" w14:textId="77777777" w:rsidR="00B73BA8" w:rsidRPr="00483A92" w:rsidRDefault="00B73BA8" w:rsidP="00B73BA8">
            <w:pPr>
              <w:rPr>
                <w:rFonts w:ascii="Arial" w:eastAsia="TimesNewRoman,Bold" w:hAnsi="Arial" w:cs="Arial"/>
                <w:b/>
                <w:bCs/>
                <w:lang w:eastAsia="x-none"/>
              </w:rPr>
            </w:pPr>
            <w:r w:rsidRPr="00483A92">
              <w:rPr>
                <w:rFonts w:ascii="Arial" w:eastAsia="TimesNewRoman,Bold" w:hAnsi="Arial" w:cs="Arial"/>
                <w:b/>
                <w:bCs/>
                <w:lang w:eastAsia="x-none"/>
              </w:rPr>
              <w:t>Najważniejsze rekomendacje…</w:t>
            </w:r>
          </w:p>
          <w:p w14:paraId="07CD89F2" w14:textId="77777777" w:rsidR="00304F77" w:rsidRPr="00483A92" w:rsidRDefault="00304F77" w:rsidP="00863F2F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CED2" w14:textId="6A91559B" w:rsidR="00304F77" w:rsidRPr="00483A92" w:rsidRDefault="00EE134F" w:rsidP="002F734E">
            <w:pPr>
              <w:rPr>
                <w:rFonts w:ascii="Arial" w:hAnsi="Arial" w:cs="Arial"/>
              </w:rPr>
            </w:pPr>
            <w:r w:rsidRPr="00483A92">
              <w:rPr>
                <w:rFonts w:ascii="Arial" w:hAnsi="Arial" w:cs="Arial"/>
              </w:rPr>
              <w:t>Uwaga ogólna.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710D" w14:textId="2FE1C8EE" w:rsidR="006C623A" w:rsidRPr="00483A92" w:rsidRDefault="00E5204C" w:rsidP="006C623A">
            <w:pPr>
              <w:pStyle w:val="Tekstpodstawowy"/>
              <w:numPr>
                <w:ilvl w:val="0"/>
                <w:numId w:val="15"/>
              </w:numPr>
              <w:ind w:left="325"/>
              <w:jc w:val="both"/>
              <w:rPr>
                <w:rFonts w:ascii="Arial" w:eastAsia="TimesNewRoman,Bold" w:hAnsi="Arial" w:cs="Arial"/>
                <w:sz w:val="22"/>
                <w:szCs w:val="22"/>
                <w:lang w:eastAsia="x-none"/>
              </w:rPr>
            </w:pPr>
            <w:r w:rsidRPr="00483A92">
              <w:rPr>
                <w:rFonts w:ascii="Arial" w:eastAsia="TimesNewRoman,Bold" w:hAnsi="Arial" w:cs="Arial"/>
                <w:sz w:val="22"/>
                <w:szCs w:val="22"/>
                <w:lang w:eastAsia="x-none"/>
              </w:rPr>
              <w:t>Integracja działań i wzmocnienie współpracy pomiędzy JST a NGO powinna być poszerzona także o podmioty sektora prywatnego usług społecznych.</w:t>
            </w:r>
          </w:p>
          <w:p w14:paraId="58D83A2F" w14:textId="505FFB31" w:rsidR="00304F77" w:rsidRPr="00483A92" w:rsidRDefault="00E5204C" w:rsidP="006C623A">
            <w:pPr>
              <w:pStyle w:val="Tekstpodstawowy"/>
              <w:numPr>
                <w:ilvl w:val="0"/>
                <w:numId w:val="15"/>
              </w:numPr>
              <w:ind w:left="325"/>
              <w:jc w:val="both"/>
              <w:rPr>
                <w:rFonts w:ascii="Arial" w:eastAsia="TimesNewRoman,Bold" w:hAnsi="Arial" w:cs="Arial"/>
                <w:sz w:val="22"/>
                <w:szCs w:val="22"/>
                <w:lang w:eastAsia="x-none"/>
              </w:rPr>
            </w:pPr>
            <w:r w:rsidRPr="00483A92">
              <w:rPr>
                <w:rFonts w:ascii="Arial" w:eastAsia="TimesNewRoman,Bold" w:hAnsi="Arial" w:cs="Arial"/>
                <w:sz w:val="22"/>
                <w:szCs w:val="22"/>
                <w:lang w:eastAsia="x-none"/>
              </w:rPr>
              <w:t xml:space="preserve">Rozbudowa infrastruktury zapewniającej wsparcie jako rekomendacja może zostać poszerzona o aspekt wyzwań deinstytucjonalizacji, łącząc i wzmacniając tym samym postulat i </w:t>
            </w:r>
            <w:r w:rsidRPr="00483A92">
              <w:rPr>
                <w:rFonts w:ascii="Arial" w:eastAsia="TimesNewRoman,Bold" w:hAnsi="Arial" w:cs="Arial"/>
                <w:sz w:val="22"/>
                <w:szCs w:val="22"/>
                <w:u w:val="single"/>
                <w:lang w:eastAsia="x-none"/>
              </w:rPr>
              <w:t>rekomendację usług społecznych o charakterze lokalnym.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8B4C" w14:textId="77777777" w:rsidR="00B4277A" w:rsidRPr="00483A92" w:rsidRDefault="00B4277A" w:rsidP="00B4277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Nie przyjęto. </w:t>
            </w:r>
          </w:p>
          <w:p w14:paraId="1F86CC56" w14:textId="77777777" w:rsidR="00B4277A" w:rsidRPr="00483A92" w:rsidRDefault="00B4277A" w:rsidP="00B4277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 rubryce „proponowana treść zapisu” nie zaproponowano proponowanej treści.</w:t>
            </w:r>
          </w:p>
          <w:p w14:paraId="1159BE09" w14:textId="77777777" w:rsidR="00B4277A" w:rsidRPr="00483A92" w:rsidRDefault="00B4277A" w:rsidP="006C623A">
            <w:pPr>
              <w:pStyle w:val="Tekstpodstawowy"/>
              <w:numPr>
                <w:ilvl w:val="0"/>
                <w:numId w:val="14"/>
              </w:numPr>
              <w:ind w:left="3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>W analizowanych danych statystycznych autorzy dokumentu nie dotarli do informacji związanej z podmiotami sektora prywatnego usług społecznych w związku z czym nie uwzględniono ich.</w:t>
            </w:r>
          </w:p>
          <w:p w14:paraId="7A3D0C7D" w14:textId="2E326A87" w:rsidR="00304F77" w:rsidRPr="00483A92" w:rsidRDefault="00B4277A" w:rsidP="006C623A">
            <w:pPr>
              <w:pStyle w:val="Tekstpodstawowy"/>
              <w:numPr>
                <w:ilvl w:val="0"/>
                <w:numId w:val="14"/>
              </w:numPr>
              <w:ind w:left="3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A92">
              <w:rPr>
                <w:rFonts w:ascii="Arial" w:hAnsi="Arial" w:cs="Arial"/>
                <w:sz w:val="22"/>
                <w:szCs w:val="22"/>
              </w:rPr>
              <w:t xml:space="preserve">J.w. </w:t>
            </w:r>
          </w:p>
        </w:tc>
      </w:tr>
    </w:tbl>
    <w:p w14:paraId="76DCF04E" w14:textId="77777777" w:rsidR="00B7723F" w:rsidRPr="00483A92" w:rsidRDefault="00B7723F" w:rsidP="00B7723F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FBC77A" w14:textId="77777777" w:rsidR="00B7723F" w:rsidRPr="00483A92" w:rsidRDefault="00B7723F" w:rsidP="00B7723F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05C21C" w14:textId="66089B90" w:rsidR="00E45BA0" w:rsidRPr="00483A92" w:rsidRDefault="00E45BA0" w:rsidP="00D93453">
      <w:pPr>
        <w:rPr>
          <w:rFonts w:ascii="Arial" w:hAnsi="Arial" w:cs="Arial"/>
        </w:rPr>
      </w:pPr>
    </w:p>
    <w:sectPr w:rsidR="00E45BA0" w:rsidRPr="00483A92" w:rsidSect="001F5BA1">
      <w:headerReference w:type="default" r:id="rId8"/>
      <w:headerReference w:type="first" r:id="rId9"/>
      <w:footerReference w:type="first" r:id="rId10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A58D" w14:textId="77777777" w:rsidR="005C2FAD" w:rsidRDefault="005C2FAD" w:rsidP="00292537">
      <w:pPr>
        <w:spacing w:after="0" w:line="240" w:lineRule="auto"/>
      </w:pPr>
      <w:r>
        <w:separator/>
      </w:r>
    </w:p>
  </w:endnote>
  <w:endnote w:type="continuationSeparator" w:id="0">
    <w:p w14:paraId="6645B54B" w14:textId="77777777" w:rsidR="005C2FAD" w:rsidRDefault="005C2FAD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3558" w14:textId="77777777" w:rsidR="005C2FAD" w:rsidRDefault="005C2FAD" w:rsidP="00292537">
      <w:pPr>
        <w:spacing w:after="0" w:line="240" w:lineRule="auto"/>
      </w:pPr>
      <w:r>
        <w:separator/>
      </w:r>
    </w:p>
  </w:footnote>
  <w:footnote w:type="continuationSeparator" w:id="0">
    <w:p w14:paraId="47D00FE4" w14:textId="77777777" w:rsidR="005C2FAD" w:rsidRDefault="005C2FAD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E41B" w14:textId="02D3EBCB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</w:rPr>
      <mc:AlternateContent>
        <mc:Choice Requires="wps">
          <w:drawing>
            <wp:inline distT="0" distB="0" distL="0" distR="0" wp14:anchorId="46D9B6CD" wp14:editId="3D999513">
              <wp:extent cx="2032000" cy="702945"/>
              <wp:effectExtent l="0" t="0" r="6350" b="1905"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2BB65F29">
                                <wp:extent cx="1384081" cy="539007"/>
                                <wp:effectExtent l="19050" t="0" r="6569" b="0"/>
                                <wp:docPr id="31" name="Obraz 31" descr="znak graficzny Regionalnego Ośrodka Polityki Społecznej w Lublinie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Obraz 31" descr="znak graficzny Regionalnego Ośrodka Polityki Społecznej w Lublinie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width:160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2BB65F29">
                          <wp:extent cx="1384081" cy="539007"/>
                          <wp:effectExtent l="19050" t="0" r="6569" b="0"/>
                          <wp:docPr id="31" name="Obraz 31" descr="znak graficzny Regionalnego Ośrodka Polityki Społecznej w Lublinie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Obraz 31" descr="znak graficzny Regionalnego Ośrodka Polityki Społecznej w Lublinie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045E3D12">
          <wp:extent cx="526968" cy="583324"/>
          <wp:effectExtent l="19050" t="0" r="6432" b="0"/>
          <wp:docPr id="30" name="Obraz 16" descr="Herb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16" descr="Herb Województwa Lubelski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13"/>
    <w:multiLevelType w:val="hybridMultilevel"/>
    <w:tmpl w:val="EAC0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4C2"/>
    <w:multiLevelType w:val="hybridMultilevel"/>
    <w:tmpl w:val="BB1EEBD6"/>
    <w:lvl w:ilvl="0" w:tplc="F5AEC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6FD"/>
    <w:multiLevelType w:val="hybridMultilevel"/>
    <w:tmpl w:val="77B49E76"/>
    <w:lvl w:ilvl="0" w:tplc="841CC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2E68"/>
    <w:multiLevelType w:val="hybridMultilevel"/>
    <w:tmpl w:val="66E83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59E9"/>
    <w:multiLevelType w:val="hybridMultilevel"/>
    <w:tmpl w:val="F2D6A3A6"/>
    <w:lvl w:ilvl="0" w:tplc="08A64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6D69"/>
    <w:multiLevelType w:val="hybridMultilevel"/>
    <w:tmpl w:val="59CC84AC"/>
    <w:lvl w:ilvl="0" w:tplc="04150011">
      <w:start w:val="1"/>
      <w:numFmt w:val="decimal"/>
      <w:lvlText w:val="%1)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462F2C06"/>
    <w:multiLevelType w:val="multilevel"/>
    <w:tmpl w:val="1D20ACC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833AA4"/>
    <w:multiLevelType w:val="hybridMultilevel"/>
    <w:tmpl w:val="AF3A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02B1"/>
    <w:multiLevelType w:val="hybridMultilevel"/>
    <w:tmpl w:val="1C90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7EAB"/>
    <w:multiLevelType w:val="hybridMultilevel"/>
    <w:tmpl w:val="5798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80E03"/>
    <w:multiLevelType w:val="hybridMultilevel"/>
    <w:tmpl w:val="6BD2E156"/>
    <w:lvl w:ilvl="0" w:tplc="23BC5D1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02748B"/>
    <w:multiLevelType w:val="hybridMultilevel"/>
    <w:tmpl w:val="B5F2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20800">
    <w:abstractNumId w:val="2"/>
  </w:num>
  <w:num w:numId="2" w16cid:durableId="1230964234">
    <w:abstractNumId w:val="4"/>
  </w:num>
  <w:num w:numId="3" w16cid:durableId="199125859">
    <w:abstractNumId w:val="13"/>
  </w:num>
  <w:num w:numId="4" w16cid:durableId="2065518131">
    <w:abstractNumId w:val="8"/>
  </w:num>
  <w:num w:numId="5" w16cid:durableId="621158215">
    <w:abstractNumId w:val="8"/>
    <w:lvlOverride w:ilvl="0">
      <w:startOverride w:val="1"/>
    </w:lvlOverride>
  </w:num>
  <w:num w:numId="6" w16cid:durableId="1938710343">
    <w:abstractNumId w:val="9"/>
  </w:num>
  <w:num w:numId="7" w16cid:durableId="928972937">
    <w:abstractNumId w:val="5"/>
  </w:num>
  <w:num w:numId="8" w16cid:durableId="1554853580">
    <w:abstractNumId w:val="11"/>
  </w:num>
  <w:num w:numId="9" w16cid:durableId="522327751">
    <w:abstractNumId w:val="14"/>
  </w:num>
  <w:num w:numId="10" w16cid:durableId="1101561650">
    <w:abstractNumId w:val="7"/>
  </w:num>
  <w:num w:numId="11" w16cid:durableId="1367414214">
    <w:abstractNumId w:val="6"/>
  </w:num>
  <w:num w:numId="12" w16cid:durableId="1860122228">
    <w:abstractNumId w:val="3"/>
  </w:num>
  <w:num w:numId="13" w16cid:durableId="877160030">
    <w:abstractNumId w:val="10"/>
  </w:num>
  <w:num w:numId="14" w16cid:durableId="1801337980">
    <w:abstractNumId w:val="0"/>
  </w:num>
  <w:num w:numId="15" w16cid:durableId="2013946015">
    <w:abstractNumId w:val="1"/>
  </w:num>
  <w:num w:numId="16" w16cid:durableId="3368566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25BA4"/>
    <w:rsid w:val="00032BA4"/>
    <w:rsid w:val="00034496"/>
    <w:rsid w:val="00042B52"/>
    <w:rsid w:val="0007618D"/>
    <w:rsid w:val="00076776"/>
    <w:rsid w:val="00080FE2"/>
    <w:rsid w:val="00084546"/>
    <w:rsid w:val="000956F8"/>
    <w:rsid w:val="00096572"/>
    <w:rsid w:val="000A7E79"/>
    <w:rsid w:val="000B5043"/>
    <w:rsid w:val="000B573F"/>
    <w:rsid w:val="000C21BA"/>
    <w:rsid w:val="000C227D"/>
    <w:rsid w:val="000C5CBC"/>
    <w:rsid w:val="000D20FD"/>
    <w:rsid w:val="000D5962"/>
    <w:rsid w:val="000D75BE"/>
    <w:rsid w:val="000F4CE9"/>
    <w:rsid w:val="00102FDD"/>
    <w:rsid w:val="00104463"/>
    <w:rsid w:val="00124AA1"/>
    <w:rsid w:val="001309D0"/>
    <w:rsid w:val="00136BA2"/>
    <w:rsid w:val="001427D7"/>
    <w:rsid w:val="00145AE1"/>
    <w:rsid w:val="00154A4B"/>
    <w:rsid w:val="00156876"/>
    <w:rsid w:val="00163900"/>
    <w:rsid w:val="001668FE"/>
    <w:rsid w:val="001711CC"/>
    <w:rsid w:val="00174736"/>
    <w:rsid w:val="0017778E"/>
    <w:rsid w:val="001B7301"/>
    <w:rsid w:val="001C1974"/>
    <w:rsid w:val="001E09D4"/>
    <w:rsid w:val="001F5BA1"/>
    <w:rsid w:val="00203E36"/>
    <w:rsid w:val="00204B7F"/>
    <w:rsid w:val="00224428"/>
    <w:rsid w:val="00237A6E"/>
    <w:rsid w:val="00241A7B"/>
    <w:rsid w:val="00280784"/>
    <w:rsid w:val="00286496"/>
    <w:rsid w:val="00290C8A"/>
    <w:rsid w:val="0029123F"/>
    <w:rsid w:val="00292537"/>
    <w:rsid w:val="00297451"/>
    <w:rsid w:val="002A420E"/>
    <w:rsid w:val="002C1036"/>
    <w:rsid w:val="002C1D17"/>
    <w:rsid w:val="002C42D9"/>
    <w:rsid w:val="002C7E45"/>
    <w:rsid w:val="002D2F8C"/>
    <w:rsid w:val="002E6421"/>
    <w:rsid w:val="002F734E"/>
    <w:rsid w:val="00304F77"/>
    <w:rsid w:val="00315956"/>
    <w:rsid w:val="0032284B"/>
    <w:rsid w:val="00322D41"/>
    <w:rsid w:val="00326707"/>
    <w:rsid w:val="0033185C"/>
    <w:rsid w:val="0033483A"/>
    <w:rsid w:val="00334EF8"/>
    <w:rsid w:val="00342E78"/>
    <w:rsid w:val="003552AC"/>
    <w:rsid w:val="003860F0"/>
    <w:rsid w:val="0039780A"/>
    <w:rsid w:val="003C5EEC"/>
    <w:rsid w:val="003E50E7"/>
    <w:rsid w:val="00421ABA"/>
    <w:rsid w:val="00435AD2"/>
    <w:rsid w:val="00440B88"/>
    <w:rsid w:val="004434B8"/>
    <w:rsid w:val="00445456"/>
    <w:rsid w:val="00452738"/>
    <w:rsid w:val="00460E81"/>
    <w:rsid w:val="00474052"/>
    <w:rsid w:val="00483A92"/>
    <w:rsid w:val="00486F35"/>
    <w:rsid w:val="00494F80"/>
    <w:rsid w:val="004A2A49"/>
    <w:rsid w:val="004B5847"/>
    <w:rsid w:val="004C7EC9"/>
    <w:rsid w:val="004D1525"/>
    <w:rsid w:val="004D2C40"/>
    <w:rsid w:val="005033F0"/>
    <w:rsid w:val="005038AE"/>
    <w:rsid w:val="0052367C"/>
    <w:rsid w:val="005247B5"/>
    <w:rsid w:val="005476B7"/>
    <w:rsid w:val="00552DE1"/>
    <w:rsid w:val="00577300"/>
    <w:rsid w:val="005800E8"/>
    <w:rsid w:val="005B7C2E"/>
    <w:rsid w:val="005C2FAD"/>
    <w:rsid w:val="005C3094"/>
    <w:rsid w:val="005D466D"/>
    <w:rsid w:val="006021B9"/>
    <w:rsid w:val="00612151"/>
    <w:rsid w:val="006232DC"/>
    <w:rsid w:val="00637D9B"/>
    <w:rsid w:val="006455B7"/>
    <w:rsid w:val="00660076"/>
    <w:rsid w:val="00662A27"/>
    <w:rsid w:val="00686B6F"/>
    <w:rsid w:val="00692142"/>
    <w:rsid w:val="00697B94"/>
    <w:rsid w:val="006B5A54"/>
    <w:rsid w:val="006C3430"/>
    <w:rsid w:val="006C42D9"/>
    <w:rsid w:val="006C623A"/>
    <w:rsid w:val="006D1961"/>
    <w:rsid w:val="006E06EA"/>
    <w:rsid w:val="00701984"/>
    <w:rsid w:val="00710764"/>
    <w:rsid w:val="00730710"/>
    <w:rsid w:val="00732512"/>
    <w:rsid w:val="00735F55"/>
    <w:rsid w:val="0074752C"/>
    <w:rsid w:val="00751D9A"/>
    <w:rsid w:val="00777E4C"/>
    <w:rsid w:val="007877A1"/>
    <w:rsid w:val="007920EF"/>
    <w:rsid w:val="007A4BCC"/>
    <w:rsid w:val="007A7C0D"/>
    <w:rsid w:val="007A7DE2"/>
    <w:rsid w:val="007B0A57"/>
    <w:rsid w:val="007C1201"/>
    <w:rsid w:val="007C3F4E"/>
    <w:rsid w:val="00805604"/>
    <w:rsid w:val="008108A1"/>
    <w:rsid w:val="00830128"/>
    <w:rsid w:val="008355E3"/>
    <w:rsid w:val="00843271"/>
    <w:rsid w:val="00844696"/>
    <w:rsid w:val="008557A2"/>
    <w:rsid w:val="00863F2F"/>
    <w:rsid w:val="008679ED"/>
    <w:rsid w:val="00896A7B"/>
    <w:rsid w:val="008B0144"/>
    <w:rsid w:val="008B5F2D"/>
    <w:rsid w:val="008C42FF"/>
    <w:rsid w:val="008E1EBE"/>
    <w:rsid w:val="008E3D7F"/>
    <w:rsid w:val="008F1E58"/>
    <w:rsid w:val="008F39FE"/>
    <w:rsid w:val="0090577E"/>
    <w:rsid w:val="00911A22"/>
    <w:rsid w:val="00913436"/>
    <w:rsid w:val="00920CD1"/>
    <w:rsid w:val="00934B5C"/>
    <w:rsid w:val="0096198A"/>
    <w:rsid w:val="00971F8E"/>
    <w:rsid w:val="009764AA"/>
    <w:rsid w:val="00986A73"/>
    <w:rsid w:val="009A105E"/>
    <w:rsid w:val="009B4D51"/>
    <w:rsid w:val="009B5AFF"/>
    <w:rsid w:val="009C1F72"/>
    <w:rsid w:val="009D0C19"/>
    <w:rsid w:val="009E54C6"/>
    <w:rsid w:val="00A0665B"/>
    <w:rsid w:val="00A25EF7"/>
    <w:rsid w:val="00A371E8"/>
    <w:rsid w:val="00A378D2"/>
    <w:rsid w:val="00A44985"/>
    <w:rsid w:val="00A51AC6"/>
    <w:rsid w:val="00A833CE"/>
    <w:rsid w:val="00AA0D7C"/>
    <w:rsid w:val="00AB4E6E"/>
    <w:rsid w:val="00AB6B38"/>
    <w:rsid w:val="00AC239C"/>
    <w:rsid w:val="00AE3E99"/>
    <w:rsid w:val="00AF5CE6"/>
    <w:rsid w:val="00B22D22"/>
    <w:rsid w:val="00B258CB"/>
    <w:rsid w:val="00B35FB8"/>
    <w:rsid w:val="00B365EA"/>
    <w:rsid w:val="00B4277A"/>
    <w:rsid w:val="00B52E83"/>
    <w:rsid w:val="00B558D4"/>
    <w:rsid w:val="00B66CB4"/>
    <w:rsid w:val="00B73BA8"/>
    <w:rsid w:val="00B7723F"/>
    <w:rsid w:val="00B829B8"/>
    <w:rsid w:val="00B84161"/>
    <w:rsid w:val="00B8664D"/>
    <w:rsid w:val="00B86D60"/>
    <w:rsid w:val="00BA273C"/>
    <w:rsid w:val="00BB4753"/>
    <w:rsid w:val="00BB55C9"/>
    <w:rsid w:val="00BB65F4"/>
    <w:rsid w:val="00BC491A"/>
    <w:rsid w:val="00BE2917"/>
    <w:rsid w:val="00BE4DC5"/>
    <w:rsid w:val="00BE5BC5"/>
    <w:rsid w:val="00BE6791"/>
    <w:rsid w:val="00C03979"/>
    <w:rsid w:val="00C2177E"/>
    <w:rsid w:val="00C443F8"/>
    <w:rsid w:val="00C46141"/>
    <w:rsid w:val="00C559D8"/>
    <w:rsid w:val="00C64675"/>
    <w:rsid w:val="00C66B0B"/>
    <w:rsid w:val="00C77850"/>
    <w:rsid w:val="00CA6C0C"/>
    <w:rsid w:val="00CB1E45"/>
    <w:rsid w:val="00CD340C"/>
    <w:rsid w:val="00CD3F6C"/>
    <w:rsid w:val="00CF23E0"/>
    <w:rsid w:val="00CF4CFA"/>
    <w:rsid w:val="00D0380D"/>
    <w:rsid w:val="00D15ECB"/>
    <w:rsid w:val="00D35F00"/>
    <w:rsid w:val="00D44FC1"/>
    <w:rsid w:val="00D64815"/>
    <w:rsid w:val="00D70E67"/>
    <w:rsid w:val="00D82BA3"/>
    <w:rsid w:val="00D93453"/>
    <w:rsid w:val="00D93897"/>
    <w:rsid w:val="00DA59AC"/>
    <w:rsid w:val="00DB11CE"/>
    <w:rsid w:val="00DB2CE4"/>
    <w:rsid w:val="00DC4076"/>
    <w:rsid w:val="00DD0CD7"/>
    <w:rsid w:val="00DE5528"/>
    <w:rsid w:val="00E00C7B"/>
    <w:rsid w:val="00E039FE"/>
    <w:rsid w:val="00E10DF0"/>
    <w:rsid w:val="00E250B8"/>
    <w:rsid w:val="00E33F34"/>
    <w:rsid w:val="00E445C5"/>
    <w:rsid w:val="00E45BA0"/>
    <w:rsid w:val="00E466B9"/>
    <w:rsid w:val="00E5204C"/>
    <w:rsid w:val="00E61FDC"/>
    <w:rsid w:val="00E66F5F"/>
    <w:rsid w:val="00E7174C"/>
    <w:rsid w:val="00E8129E"/>
    <w:rsid w:val="00E85390"/>
    <w:rsid w:val="00E916B1"/>
    <w:rsid w:val="00EC1F0E"/>
    <w:rsid w:val="00EE134F"/>
    <w:rsid w:val="00EF4361"/>
    <w:rsid w:val="00F069B0"/>
    <w:rsid w:val="00F4442C"/>
    <w:rsid w:val="00F544D1"/>
    <w:rsid w:val="00F7785C"/>
    <w:rsid w:val="00F97F98"/>
    <w:rsid w:val="00FA5089"/>
    <w:rsid w:val="00FB017D"/>
    <w:rsid w:val="00FC3CCC"/>
    <w:rsid w:val="00FD737D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26FA3"/>
  <w15:docId w15:val="{E9C774A9-51A8-42BB-B89A-76181D8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1668F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  <w:style w:type="numbering" w:customStyle="1" w:styleId="WWNum3">
    <w:name w:val="WWNum3"/>
    <w:basedOn w:val="Bezlisty"/>
    <w:rsid w:val="00FF3CE6"/>
    <w:pPr>
      <w:numPr>
        <w:numId w:val="4"/>
      </w:numPr>
    </w:pPr>
  </w:style>
  <w:style w:type="numbering" w:customStyle="1" w:styleId="WWNum31">
    <w:name w:val="WWNum31"/>
    <w:basedOn w:val="Bezlisty"/>
    <w:rsid w:val="00AB4E6E"/>
  </w:style>
  <w:style w:type="paragraph" w:styleId="Tekstpodstawowy">
    <w:name w:val="Body Text"/>
    <w:basedOn w:val="Normalny"/>
    <w:link w:val="TekstpodstawowyZnak"/>
    <w:uiPriority w:val="99"/>
    <w:rsid w:val="00076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67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2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8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46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7C38-1B89-40C4-96CF-125B2927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2779</Words>
  <Characters>16679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wraz ze stanowiskiem ROPS</vt:lpstr>
    </vt:vector>
  </TitlesOfParts>
  <Company>Hewlett-Packard Company</Company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konsultacji - formularz zgłaszania uwag do projektu WPPPwR na lata 2022-2025</dc:title>
  <dc:creator>diana.biront@rops.lubelskie.pl</dc:creator>
  <cp:lastModifiedBy>Diana Biront</cp:lastModifiedBy>
  <cp:revision>161</cp:revision>
  <cp:lastPrinted>2020-10-23T11:26:00Z</cp:lastPrinted>
  <dcterms:created xsi:type="dcterms:W3CDTF">2020-10-20T07:18:00Z</dcterms:created>
  <dcterms:modified xsi:type="dcterms:W3CDTF">2022-05-17T07:17:00Z</dcterms:modified>
</cp:coreProperties>
</file>